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cs="Arial"/>
          <w:b/>
          <w:sz w:val="24"/>
          <w:szCs w:val="24"/>
        </w:rPr>
        <w:t>-e                                 R4-2010942</w:t>
      </w:r>
      <w:bookmarkStart w:id="7" w:name="_GoBack"/>
      <w:bookmarkEnd w:id="7"/>
      <w:r>
        <w:rPr>
          <w:rFonts w:hint="eastAsia" w:ascii="Arial" w:hAnsi="Arial" w:cs="Arial"/>
          <w:b/>
          <w:sz w:val="24"/>
          <w:szCs w:val="24"/>
        </w:rPr>
        <w:t xml:space="preserve">                          </w:t>
      </w:r>
    </w:p>
    <w:p>
      <w:pPr>
        <w:rPr>
          <w:rFonts w:hint="eastAsia" w:ascii="Arial" w:hAnsi="Arial" w:cs="Arial"/>
          <w:b/>
          <w:color w:val="auto"/>
          <w:sz w:val="24"/>
          <w:szCs w:val="24"/>
          <w:highlight w:val="yellow"/>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r>
        <w:rPr>
          <w:rFonts w:hint="eastAsia" w:ascii="Arial" w:hAnsi="Arial" w:cs="Arial"/>
          <w:b/>
          <w:color w:val="auto"/>
          <w:sz w:val="24"/>
          <w:szCs w:val="24"/>
          <w:highlight w:val="none"/>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3.3</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UL simulation results for 6425-7125MHz and 10-10.5GHz</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w:t>
      </w:r>
      <w:r>
        <w:rPr>
          <w:rFonts w:hint="eastAsia" w:ascii="Arial" w:hAnsi="Arial" w:cs="Arial"/>
          <w:b/>
          <w:sz w:val="24"/>
          <w:szCs w:val="24"/>
        </w:rPr>
        <w:t xml:space="preserve">  </w:t>
      </w:r>
    </w:p>
    <w:p>
      <w:pPr>
        <w:pStyle w:val="37"/>
        <w:tabs>
          <w:tab w:val="left" w:pos="567"/>
          <w:tab w:val="clear" w:pos="1985"/>
        </w:tabs>
        <w:adjustRightInd w:val="0"/>
        <w:ind w:left="510" w:hanging="510"/>
      </w:pPr>
      <w:r>
        <w:t>Introduction</w:t>
      </w:r>
    </w:p>
    <w:p>
      <w:pPr>
        <w:pStyle w:val="29"/>
        <w:pBdr>
          <w:top w:val="none" w:color="auto" w:sz="0" w:space="0"/>
          <w:left w:val="none" w:color="auto" w:sz="0" w:space="0"/>
          <w:bottom w:val="none" w:color="auto" w:sz="0" w:space="0"/>
          <w:right w:val="none" w:color="auto" w:sz="0" w:space="0"/>
          <w:between w:val="none" w:color="auto" w:sz="0" w:space="0"/>
        </w:pBdr>
        <w:rPr>
          <w:rFonts w:hint="default" w:eastAsia="Times New Roman"/>
          <w:kern w:val="0"/>
          <w:sz w:val="20"/>
          <w:szCs w:val="20"/>
          <w:lang w:val="en-US" w:eastAsia="zh-CN" w:bidi="ar-SA"/>
        </w:rPr>
      </w:pPr>
      <w:r>
        <w:rPr>
          <w:rFonts w:hint="eastAsia" w:eastAsia="Times New Roman"/>
          <w:kern w:val="0"/>
          <w:sz w:val="20"/>
          <w:szCs w:val="20"/>
          <w:lang w:val="en-US" w:eastAsia="zh-CN" w:bidi="ar-SA"/>
        </w:rPr>
        <w:t>In the RAN4#95-e-Bis meeting,</w:t>
      </w:r>
      <w:bookmarkStart w:id="1" w:name="OLE_LINK2"/>
      <w:r>
        <w:rPr>
          <w:rFonts w:hint="eastAsia" w:eastAsia="Times New Roman"/>
          <w:kern w:val="0"/>
          <w:sz w:val="20"/>
          <w:szCs w:val="20"/>
          <w:lang w:val="en-US" w:eastAsia="zh-CN" w:bidi="ar-SA"/>
        </w:rPr>
        <w:t xml:space="preserve"> WF on simulation assumption [1] and WF for BS antenna parameters [2-3] were approved</w:t>
      </w:r>
      <w:bookmarkEnd w:id="1"/>
      <w:r>
        <w:rPr>
          <w:rFonts w:hint="eastAsia" w:eastAsia="Times New Roman"/>
          <w:kern w:val="0"/>
          <w:sz w:val="20"/>
          <w:szCs w:val="20"/>
          <w:lang w:val="en-US" w:eastAsia="zh-CN" w:bidi="ar-SA"/>
        </w:rPr>
        <w:t xml:space="preserve"> for coexistence evaluation work. Therefore in this contribution, we share some updated simulation results for further discussion. </w:t>
      </w:r>
    </w:p>
    <w:p>
      <w:pPr>
        <w:pStyle w:val="37"/>
        <w:tabs>
          <w:tab w:val="left" w:pos="567"/>
          <w:tab w:val="clear" w:pos="1985"/>
        </w:tabs>
        <w:adjustRightInd w:val="0"/>
        <w:ind w:left="510" w:hanging="510"/>
        <w:rPr>
          <w:rFonts w:hint="eastAsia" w:ascii="Arial" w:hAnsi="Arial"/>
        </w:rPr>
      </w:pPr>
      <w:r>
        <w:rPr>
          <w:rFonts w:hint="eastAsia" w:ascii="Arial" w:hAnsi="Arial"/>
        </w:rPr>
        <w:t xml:space="preserve">Discussion </w:t>
      </w:r>
      <w:bookmarkStart w:id="2" w:name="OLE_LINK13"/>
      <w:bookmarkStart w:id="3" w:name="OLE_LINK14"/>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eastAsia" w:eastAsia="Times New Roman"/>
          <w:kern w:val="0"/>
          <w:sz w:val="20"/>
          <w:szCs w:val="20"/>
          <w:lang w:val="en-US" w:eastAsia="zh-CN" w:bidi="ar-SA"/>
        </w:rPr>
      </w:pPr>
      <w:bookmarkStart w:id="4" w:name="OLE_LINK20"/>
      <w:r>
        <w:rPr>
          <w:rFonts w:hint="eastAsia" w:eastAsia="Times New Roman"/>
          <w:kern w:val="0"/>
          <w:sz w:val="20"/>
          <w:szCs w:val="20"/>
          <w:lang w:val="en-US" w:eastAsia="zh-CN" w:bidi="ar-SA"/>
        </w:rPr>
        <w:t xml:space="preserve">In the following sections, simulation results for both coordinated case and uncoordinated case in urban macro scenarios are provided based on the </w:t>
      </w:r>
      <w:bookmarkStart w:id="5" w:name="OLE_LINK10"/>
      <w:r>
        <w:rPr>
          <w:rFonts w:hint="eastAsia" w:eastAsia="Times New Roman"/>
          <w:kern w:val="0"/>
          <w:sz w:val="20"/>
          <w:szCs w:val="20"/>
          <w:lang w:val="en-US" w:eastAsia="zh-CN" w:bidi="ar-SA"/>
        </w:rPr>
        <w:t>approved simulation assumption [1]. In addition, baseline ACIR for demonstration of legacy FR1 NR system is assuming that using ACLR=30dBc at UE and ACS=46dBc at BS) at 7GHz and 10GHz, relative offset to baseline ACIR is used for further comparison to check whether relative relaxed requirements could be achieved.</w:t>
      </w:r>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default" w:eastAsia="Times New Roman"/>
          <w:kern w:val="0"/>
          <w:sz w:val="20"/>
          <w:szCs w:val="20"/>
          <w:lang w:val="en-US" w:eastAsia="zh-CN" w:bidi="ar-SA"/>
        </w:rPr>
      </w:pPr>
    </w:p>
    <w:bookmarkEnd w:id="4"/>
    <w:bookmarkEnd w:id="5"/>
    <w:p>
      <w:pPr>
        <w:pStyle w:val="32"/>
        <w:keepNext w:val="0"/>
        <w:keepLines w:val="0"/>
        <w:pageBreakBefore w:val="0"/>
        <w:widowControl w:val="0"/>
        <w:kinsoku/>
        <w:wordWrap/>
        <w:overflowPunct/>
        <w:topLinePunct w:val="0"/>
        <w:autoSpaceDE/>
        <w:autoSpaceDN/>
        <w:bidi w:val="0"/>
        <w:adjustRightInd/>
        <w:snapToGrid/>
        <w:textAlignment w:val="auto"/>
        <w:outlineLvl w:val="1"/>
        <w:rPr>
          <w:rFonts w:hint="eastAsia" w:ascii="Times New Roman" w:hAnsi="Times New Roman"/>
          <w:b/>
          <w:bCs/>
          <w:highlight w:val="none"/>
          <w:lang w:val="en-US" w:eastAsia="zh-CN"/>
        </w:rPr>
      </w:pPr>
      <w:r>
        <w:rPr>
          <w:rFonts w:hint="eastAsia" w:ascii="Times New Roman" w:hAnsi="Times New Roman"/>
          <w:b/>
          <w:bCs/>
          <w:highlight w:val="none"/>
          <w:lang w:val="en-US" w:eastAsia="zh-CN"/>
        </w:rPr>
        <w:t xml:space="preserve">2.1. Uplink  </w:t>
      </w:r>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default" w:eastAsia="Times New Roman"/>
          <w:kern w:val="0"/>
          <w:sz w:val="20"/>
          <w:szCs w:val="20"/>
          <w:lang w:val="en-US" w:eastAsia="zh-CN" w:bidi="ar-SA"/>
        </w:rPr>
      </w:pPr>
      <w:r>
        <w:rPr>
          <w:rFonts w:hint="eastAsia" w:eastAsia="Times New Roman"/>
          <w:kern w:val="0"/>
          <w:sz w:val="20"/>
          <w:szCs w:val="20"/>
          <w:lang w:val="en-US" w:eastAsia="zh-CN" w:bidi="ar-SA"/>
        </w:rPr>
        <w:t>In the WF [1], it was agreed to have 3 user scheduled in the uplink and however corresponding uplink ACIR model was not explicitly described yet which is also quite critical for evaluation work in uplink coexistence simulation study. Similar as what has been agreed for uplink ACIR model for LTE coexistence study captured in TR 36.942, some minor modifications is made as following considering channel bandwidth 100MHz and 30KHz SCS for both aggressive system and victim system.</w:t>
      </w:r>
    </w:p>
    <w:p>
      <w:pPr>
        <w:pStyle w:val="29"/>
        <w:bidi w:val="0"/>
        <w:rPr>
          <w:rFonts w:hint="eastAsia"/>
          <w:lang w:val="en-US" w:eastAsia="zh-CN"/>
        </w:rPr>
      </w:pPr>
      <w:r>
        <w:drawing>
          <wp:inline distT="0" distB="0" distL="114300" distR="114300">
            <wp:extent cx="5608955" cy="2162175"/>
            <wp:effectExtent l="0" t="0" r="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5"/>
                    <a:stretch>
                      <a:fillRect/>
                    </a:stretch>
                  </pic:blipFill>
                  <pic:spPr>
                    <a:xfrm>
                      <a:off x="0" y="0"/>
                      <a:ext cx="5608955" cy="2162175"/>
                    </a:xfrm>
                    <a:prstGeom prst="rect">
                      <a:avLst/>
                    </a:prstGeom>
                    <a:noFill/>
                    <a:ln>
                      <a:noFill/>
                    </a:ln>
                  </pic:spPr>
                </pic:pic>
              </a:graphicData>
            </a:graphic>
          </wp:inline>
        </w:drawing>
      </w:r>
    </w:p>
    <w:p>
      <w:pPr>
        <w:pStyle w:val="29"/>
        <w:bidi w:val="0"/>
      </w:pPr>
    </w:p>
    <w:p>
      <w:pPr>
        <w:pStyle w:val="30"/>
        <w:rPr>
          <w:rFonts w:hint="eastAsia"/>
          <w:lang w:eastAsia="ja-JP"/>
        </w:rPr>
      </w:pPr>
      <w:bookmarkStart w:id="6" w:name="OLE_LINK9"/>
      <w:r>
        <w:t xml:space="preserve">Figure </w:t>
      </w:r>
      <w:r>
        <w:rPr>
          <w:rFonts w:hint="eastAsia"/>
          <w:lang w:val="en-US" w:eastAsia="zh-CN"/>
        </w:rPr>
        <w:t xml:space="preserve">2.2-1 </w:t>
      </w:r>
      <w:r>
        <w:rPr>
          <w:rFonts w:hint="eastAsia"/>
          <w:lang w:eastAsia="ja-JP"/>
        </w:rPr>
        <w:t>Uplink ACIR model</w:t>
      </w:r>
    </w:p>
    <w:p>
      <w:pPr>
        <w:pStyle w:val="31"/>
        <w:rPr>
          <w:rFonts w:hint="eastAsia" w:eastAsia="宋体"/>
          <w:lang w:val="en-US" w:eastAsia="zh-CN"/>
        </w:rPr>
      </w:pPr>
      <w:r>
        <w:t xml:space="preserve">Table </w:t>
      </w:r>
      <w:r>
        <w:rPr>
          <w:rFonts w:hint="eastAsia"/>
          <w:lang w:val="en-US" w:eastAsia="zh-CN"/>
        </w:rPr>
        <w:t>2.2-1</w:t>
      </w:r>
      <w:r>
        <w:rPr>
          <w:rFonts w:hint="eastAsia"/>
          <w:lang w:eastAsia="ja-JP"/>
        </w:rPr>
        <w:t xml:space="preserve">  ACIR value</w:t>
      </w:r>
      <w:r>
        <w:rPr>
          <w:rFonts w:hint="eastAsia"/>
          <w:lang w:val="en-US" w:eastAsia="zh-CN"/>
        </w:rPr>
        <w:t xml:space="preserve"> </w:t>
      </w:r>
    </w:p>
    <w:tbl>
      <w:tblPr>
        <w:tblStyle w:val="27"/>
        <w:tblW w:w="5183" w:type="dxa"/>
        <w:jc w:val="center"/>
        <w:tblInd w:w="-1906" w:type="dxa"/>
        <w:tblLayout w:type="fixed"/>
        <w:tblCellMar>
          <w:top w:w="0" w:type="dxa"/>
          <w:left w:w="108" w:type="dxa"/>
          <w:bottom w:w="0" w:type="dxa"/>
          <w:right w:w="108" w:type="dxa"/>
        </w:tblCellMar>
      </w:tblPr>
      <w:tblGrid>
        <w:gridCol w:w="3444"/>
        <w:gridCol w:w="1739"/>
      </w:tblGrid>
      <w:tr>
        <w:tblPrEx>
          <w:tblLayout w:type="fixed"/>
          <w:tblCellMar>
            <w:top w:w="0" w:type="dxa"/>
            <w:left w:w="108" w:type="dxa"/>
            <w:bottom w:w="0" w:type="dxa"/>
            <w:right w:w="108" w:type="dxa"/>
          </w:tblCellMar>
        </w:tblPrEx>
        <w:trPr>
          <w:jc w:val="center"/>
        </w:trPr>
        <w:tc>
          <w:tcPr>
            <w:tcW w:w="3444" w:type="dxa"/>
            <w:vAlign w:val="center"/>
          </w:tcPr>
          <w:p>
            <w:pPr>
              <w:pStyle w:val="52"/>
              <w:widowControl w:val="0"/>
              <w:rPr>
                <w:rFonts w:hint="eastAsia"/>
                <w:b w:val="0"/>
                <w:lang w:eastAsia="ja-JP"/>
              </w:rPr>
            </w:pPr>
            <w:r>
              <w:rPr>
                <w:rFonts w:hint="eastAsia"/>
                <w:b w:val="0"/>
                <w:lang w:eastAsia="ja-JP"/>
              </w:rPr>
              <w:t>Frequency offset between aggressor (</w:t>
            </w:r>
            <w:r>
              <w:rPr>
                <w:rFonts w:hint="eastAsia" w:eastAsia="宋体"/>
                <w:b w:val="0"/>
                <w:lang w:val="en-US" w:eastAsia="zh-CN"/>
              </w:rPr>
              <w:t>91</w:t>
            </w:r>
            <w:r>
              <w:rPr>
                <w:rFonts w:hint="eastAsia"/>
                <w:b w:val="0"/>
                <w:lang w:eastAsia="ja-JP"/>
              </w:rPr>
              <w:t>RBs) and victim (</w:t>
            </w:r>
            <w:r>
              <w:rPr>
                <w:rFonts w:hint="eastAsia" w:eastAsia="宋体"/>
                <w:b w:val="0"/>
                <w:lang w:val="en-US" w:eastAsia="zh-CN"/>
              </w:rPr>
              <w:t>91</w:t>
            </w:r>
            <w:r>
              <w:rPr>
                <w:rFonts w:hint="eastAsia"/>
                <w:b w:val="0"/>
                <w:lang w:eastAsia="ja-JP"/>
              </w:rPr>
              <w:t>RBs)</w:t>
            </w:r>
          </w:p>
        </w:tc>
        <w:tc>
          <w:tcPr>
            <w:tcW w:w="1739" w:type="dxa"/>
            <w:vAlign w:val="center"/>
          </w:tcPr>
          <w:p>
            <w:pPr>
              <w:pStyle w:val="52"/>
              <w:widowControl w:val="0"/>
              <w:rPr>
                <w:rFonts w:hint="eastAsia" w:ascii="Times New Roman" w:hAnsi="Times New Roman"/>
                <w:b w:val="0"/>
                <w:sz w:val="20"/>
                <w:lang w:eastAsia="ja-JP"/>
              </w:rPr>
            </w:pPr>
            <w:r>
              <w:rPr>
                <w:rFonts w:hint="eastAsia" w:ascii="Times New Roman" w:hAnsi="Times New Roman"/>
                <w:b w:val="0"/>
                <w:sz w:val="20"/>
                <w:lang w:eastAsia="ja-JP"/>
              </w:rPr>
              <w:t>ACIR value</w:t>
            </w:r>
          </w:p>
        </w:tc>
      </w:tr>
      <w:tr>
        <w:tblPrEx>
          <w:tblLayout w:type="fixed"/>
          <w:tblCellMar>
            <w:top w:w="0" w:type="dxa"/>
            <w:left w:w="108" w:type="dxa"/>
            <w:bottom w:w="0" w:type="dxa"/>
            <w:right w:w="108" w:type="dxa"/>
          </w:tblCellMar>
        </w:tblPrEx>
        <w:trPr>
          <w:jc w:val="center"/>
        </w:trPr>
        <w:tc>
          <w:tcPr>
            <w:tcW w:w="3444" w:type="dxa"/>
            <w:vAlign w:val="center"/>
          </w:tcPr>
          <w:p>
            <w:pPr>
              <w:pStyle w:val="33"/>
              <w:widowControl w:val="0"/>
              <w:rPr>
                <w:rFonts w:hint="eastAsia"/>
                <w:b/>
                <w:lang w:eastAsia="ja-JP"/>
              </w:rPr>
            </w:pPr>
            <w:r>
              <w:rPr>
                <w:rFonts w:hint="eastAsia"/>
                <w:b/>
                <w:lang w:eastAsia="ja-JP"/>
              </w:rPr>
              <w:t>0</w:t>
            </w:r>
            <w:r>
              <w:rPr>
                <w:rFonts w:hint="eastAsia" w:eastAsia="宋体"/>
                <w:b/>
                <w:lang w:val="en-US" w:eastAsia="zh-CN"/>
              </w:rPr>
              <w:t>-90</w:t>
            </w:r>
            <w:r>
              <w:rPr>
                <w:rFonts w:hint="eastAsia"/>
                <w:b/>
                <w:lang w:eastAsia="ja-JP"/>
              </w:rPr>
              <w:t xml:space="preserve"> RBs</w:t>
            </w:r>
          </w:p>
        </w:tc>
        <w:tc>
          <w:tcPr>
            <w:tcW w:w="1739" w:type="dxa"/>
            <w:vAlign w:val="center"/>
          </w:tcPr>
          <w:p>
            <w:pPr>
              <w:pStyle w:val="33"/>
              <w:widowControl w:val="0"/>
              <w:rPr>
                <w:rFonts w:hint="eastAsia" w:ascii="Times New Roman" w:hAnsi="Times New Roman"/>
                <w:b/>
                <w:sz w:val="20"/>
                <w:lang w:eastAsia="ja-JP"/>
              </w:rPr>
            </w:pPr>
            <w:r>
              <w:rPr>
                <w:rFonts w:hint="eastAsia" w:ascii="Times New Roman" w:hAnsi="Times New Roman"/>
                <w:b/>
                <w:sz w:val="20"/>
                <w:lang w:eastAsia="ja-JP"/>
              </w:rPr>
              <w:t>30 + X</w:t>
            </w:r>
          </w:p>
        </w:tc>
      </w:tr>
      <w:tr>
        <w:tblPrEx>
          <w:tblLayout w:type="fixed"/>
          <w:tblCellMar>
            <w:top w:w="0" w:type="dxa"/>
            <w:left w:w="108" w:type="dxa"/>
            <w:bottom w:w="0" w:type="dxa"/>
            <w:right w:w="108" w:type="dxa"/>
          </w:tblCellMar>
        </w:tblPrEx>
        <w:trPr>
          <w:jc w:val="center"/>
        </w:trPr>
        <w:tc>
          <w:tcPr>
            <w:tcW w:w="3444" w:type="dxa"/>
            <w:vAlign w:val="center"/>
          </w:tcPr>
          <w:p>
            <w:pPr>
              <w:pStyle w:val="33"/>
              <w:widowControl w:val="0"/>
              <w:rPr>
                <w:rFonts w:hint="eastAsia"/>
                <w:b/>
                <w:lang w:eastAsia="ja-JP"/>
              </w:rPr>
            </w:pPr>
            <w:r>
              <w:rPr>
                <w:rFonts w:hint="eastAsia" w:eastAsia="宋体"/>
                <w:b/>
                <w:lang w:val="en-US" w:eastAsia="zh-CN"/>
              </w:rPr>
              <w:t>91-181</w:t>
            </w:r>
            <w:r>
              <w:rPr>
                <w:rFonts w:hint="eastAsia"/>
                <w:b/>
                <w:lang w:eastAsia="ja-JP"/>
              </w:rPr>
              <w:t>RBs</w:t>
            </w:r>
          </w:p>
        </w:tc>
        <w:tc>
          <w:tcPr>
            <w:tcW w:w="1739" w:type="dxa"/>
            <w:vAlign w:val="center"/>
          </w:tcPr>
          <w:p>
            <w:pPr>
              <w:pStyle w:val="33"/>
              <w:widowControl w:val="0"/>
              <w:rPr>
                <w:rFonts w:hint="eastAsia" w:ascii="Times New Roman" w:hAnsi="Times New Roman"/>
                <w:b/>
                <w:sz w:val="20"/>
                <w:lang w:val="en-US" w:eastAsia="ja-JP"/>
              </w:rPr>
            </w:pPr>
            <w:r>
              <w:rPr>
                <w:rFonts w:hint="eastAsia" w:ascii="Times New Roman" w:hAnsi="Times New Roman"/>
                <w:b/>
                <w:sz w:val="20"/>
                <w:lang w:val="en-US" w:eastAsia="ja-JP"/>
              </w:rPr>
              <w:t>43 + X</w:t>
            </w:r>
          </w:p>
        </w:tc>
      </w:tr>
      <w:tr>
        <w:tblPrEx>
          <w:tblLayout w:type="fixed"/>
          <w:tblCellMar>
            <w:top w:w="0" w:type="dxa"/>
            <w:left w:w="108" w:type="dxa"/>
            <w:bottom w:w="0" w:type="dxa"/>
            <w:right w:w="108" w:type="dxa"/>
          </w:tblCellMar>
        </w:tblPrEx>
        <w:trPr>
          <w:jc w:val="center"/>
        </w:trPr>
        <w:tc>
          <w:tcPr>
            <w:tcW w:w="3444" w:type="dxa"/>
            <w:vAlign w:val="center"/>
          </w:tcPr>
          <w:p>
            <w:pPr>
              <w:pStyle w:val="33"/>
              <w:widowControl w:val="0"/>
              <w:rPr>
                <w:rFonts w:hint="eastAsia"/>
                <w:b/>
                <w:lang w:eastAsia="ja-JP"/>
              </w:rPr>
            </w:pPr>
            <w:r>
              <w:rPr>
                <w:rFonts w:hint="eastAsia" w:eastAsia="宋体"/>
                <w:b/>
                <w:lang w:val="en-US" w:eastAsia="zh-CN"/>
              </w:rPr>
              <w:t>&gt;181</w:t>
            </w:r>
            <w:r>
              <w:rPr>
                <w:b/>
              </w:rPr>
              <w:t>RBs</w:t>
            </w:r>
          </w:p>
        </w:tc>
        <w:tc>
          <w:tcPr>
            <w:tcW w:w="1739" w:type="dxa"/>
            <w:vAlign w:val="center"/>
          </w:tcPr>
          <w:p>
            <w:pPr>
              <w:pStyle w:val="33"/>
              <w:widowControl w:val="0"/>
              <w:rPr>
                <w:rFonts w:hint="eastAsia" w:ascii="Times New Roman" w:hAnsi="Times New Roman"/>
                <w:b/>
                <w:sz w:val="20"/>
                <w:lang w:eastAsia="ja-JP"/>
              </w:rPr>
            </w:pPr>
            <w:r>
              <w:rPr>
                <w:rFonts w:hint="eastAsia" w:ascii="Times New Roman" w:hAnsi="Times New Roman" w:eastAsia="宋体"/>
                <w:b/>
                <w:sz w:val="20"/>
                <w:lang w:val="en-US" w:eastAsia="zh-CN"/>
              </w:rPr>
              <w:t>43</w:t>
            </w:r>
            <w:r>
              <w:rPr>
                <w:rFonts w:hint="eastAsia" w:ascii="Times New Roman" w:hAnsi="Times New Roman"/>
                <w:b/>
                <w:sz w:val="20"/>
                <w:lang w:eastAsia="ja-JP"/>
              </w:rPr>
              <w:t>+ X</w:t>
            </w:r>
          </w:p>
        </w:tc>
      </w:tr>
      <w:bookmarkEnd w:id="6"/>
    </w:tbl>
    <w:p>
      <w:pPr>
        <w:pStyle w:val="35"/>
        <w:ind w:left="0" w:leftChars="0" w:firstLine="0" w:firstLineChars="0"/>
        <w:jc w:val="both"/>
        <w:rPr>
          <w:rFonts w:hint="eastAsia"/>
          <w:lang w:val="en-US" w:eastAsia="zh-CN"/>
        </w:rPr>
      </w:pPr>
    </w:p>
    <w:p>
      <w:pPr>
        <w:pStyle w:val="31"/>
        <w:ind w:left="360"/>
        <w:rPr>
          <w:rFonts w:hint="eastAsia"/>
          <w:lang w:val="en-US" w:eastAsia="zh-CN"/>
        </w:rPr>
      </w:pPr>
      <w:r>
        <w:t xml:space="preserve">Table </w:t>
      </w:r>
      <w:r>
        <w:rPr>
          <w:rFonts w:hint="eastAsia"/>
          <w:lang w:val="en-US" w:eastAsia="zh-CN"/>
        </w:rPr>
        <w:t>2</w:t>
      </w:r>
      <w:r>
        <w:t xml:space="preserve">: </w:t>
      </w:r>
      <w:r>
        <w:rPr>
          <w:rFonts w:hint="eastAsia"/>
          <w:lang w:val="en-US" w:eastAsia="zh-CN"/>
        </w:rPr>
        <w:t>Uplink</w:t>
      </w:r>
      <w:r>
        <w:rPr>
          <w:rFonts w:cs="TimesNewRomanPSMT"/>
          <w:lang w:eastAsia="zh-CN"/>
        </w:rPr>
        <w:t xml:space="preserve"> </w:t>
      </w:r>
      <w:r>
        <w:rPr>
          <w:rFonts w:eastAsia="宋体"/>
          <w:lang w:eastAsia="zh-CN"/>
        </w:rPr>
        <w:t xml:space="preserve">throughput loss </w:t>
      </w:r>
      <w:r>
        <w:rPr>
          <w:rFonts w:cs="TimesNewRomanPSMT"/>
          <w:lang w:eastAsia="zh-CN"/>
        </w:rPr>
        <w:t xml:space="preserve">of victim </w:t>
      </w:r>
      <w:r>
        <w:rPr>
          <w:rFonts w:hint="eastAsia" w:cs="TimesNewRomanPSMT"/>
          <w:lang w:val="en-US" w:eastAsia="zh-CN"/>
        </w:rPr>
        <w:t>BS</w:t>
      </w:r>
      <w:r>
        <w:rPr>
          <w:rFonts w:cs="TimesNewRomanPSMT"/>
          <w:lang w:eastAsia="zh-CN"/>
        </w:rPr>
        <w:t xml:space="preserve"> at 7GHz and 10GHz</w:t>
      </w:r>
      <w:r>
        <w:rPr>
          <w:rFonts w:hint="eastAsia" w:cs="TimesNewRomanPSMT"/>
          <w:lang w:val="en-US" w:eastAsia="zh-CN"/>
        </w:rPr>
        <w:t xml:space="preserve"> </w:t>
      </w:r>
    </w:p>
    <w:tbl>
      <w:tblPr>
        <w:tblStyle w:val="28"/>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2"/>
        <w:gridCol w:w="2522"/>
        <w:gridCol w:w="804"/>
        <w:gridCol w:w="804"/>
        <w:gridCol w:w="804"/>
        <w:gridCol w:w="804"/>
        <w:gridCol w:w="804"/>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restart"/>
            <w:vAlign w:val="center"/>
          </w:tcPr>
          <w:p>
            <w:pPr>
              <w:pStyle w:val="15"/>
              <w:snapToGrid w:val="0"/>
              <w:jc w:val="center"/>
              <w:rPr>
                <w:rFonts w:hint="default" w:eastAsia="宋体"/>
                <w:szCs w:val="20"/>
                <w:lang w:val="en-US" w:eastAsia="zh-CN"/>
              </w:rPr>
            </w:pPr>
            <w:r>
              <w:rPr>
                <w:rFonts w:hint="eastAsia" w:eastAsia="宋体"/>
                <w:szCs w:val="20"/>
                <w:lang w:val="en-US" w:eastAsia="zh-CN"/>
              </w:rPr>
              <w:t>Simulation scenarios</w:t>
            </w:r>
          </w:p>
        </w:tc>
        <w:tc>
          <w:tcPr>
            <w:tcW w:w="2522" w:type="dxa"/>
            <w:vMerge w:val="restart"/>
            <w:vAlign w:val="center"/>
          </w:tcPr>
          <w:p>
            <w:pPr>
              <w:pStyle w:val="15"/>
              <w:snapToGrid w:val="0"/>
              <w:jc w:val="center"/>
              <w:rPr>
                <w:rFonts w:hint="default" w:eastAsia="宋体"/>
                <w:szCs w:val="20"/>
                <w:lang w:val="en-US" w:eastAsia="zh-CN"/>
              </w:rPr>
            </w:pPr>
            <w:r>
              <w:rPr>
                <w:rFonts w:hint="eastAsia" w:eastAsia="宋体"/>
                <w:szCs w:val="20"/>
                <w:lang w:val="en-US" w:eastAsia="zh-CN"/>
              </w:rPr>
              <w:t>Throughput loss</w:t>
            </w:r>
          </w:p>
        </w:tc>
        <w:tc>
          <w:tcPr>
            <w:tcW w:w="4824" w:type="dxa"/>
            <w:gridSpan w:val="6"/>
            <w:vAlign w:val="top"/>
          </w:tcPr>
          <w:p>
            <w:pPr>
              <w:pStyle w:val="15"/>
              <w:snapToGrid w:val="0"/>
              <w:jc w:val="center"/>
              <w:rPr>
                <w:rFonts w:hint="default" w:eastAsia="宋体"/>
                <w:szCs w:val="20"/>
                <w:lang w:val="en-US" w:eastAsia="zh-CN"/>
              </w:rPr>
            </w:pPr>
            <w:r>
              <w:rPr>
                <w:rFonts w:hint="eastAsia" w:eastAsia="宋体"/>
                <w:szCs w:val="20"/>
                <w:lang w:val="en-US"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continue"/>
            <w:vAlign w:val="center"/>
          </w:tcPr>
          <w:p>
            <w:pPr>
              <w:pStyle w:val="15"/>
              <w:snapToGrid w:val="0"/>
              <w:jc w:val="center"/>
              <w:rPr>
                <w:rFonts w:hint="default" w:eastAsia="宋体"/>
                <w:szCs w:val="20"/>
                <w:lang w:val="en-US" w:eastAsia="zh-CN"/>
              </w:rPr>
            </w:pPr>
          </w:p>
        </w:tc>
        <w:tc>
          <w:tcPr>
            <w:tcW w:w="2522" w:type="dxa"/>
            <w:vMerge w:val="continue"/>
            <w:vAlign w:val="center"/>
          </w:tcPr>
          <w:p>
            <w:pPr>
              <w:pStyle w:val="15"/>
              <w:snapToGrid w:val="0"/>
              <w:jc w:val="center"/>
              <w:rPr>
                <w:rFonts w:hint="default" w:eastAsia="宋体"/>
                <w:szCs w:val="20"/>
                <w:lang w:val="en-US" w:eastAsia="zh-CN"/>
              </w:rPr>
            </w:pPr>
          </w:p>
        </w:tc>
        <w:tc>
          <w:tcPr>
            <w:tcW w:w="804" w:type="dxa"/>
            <w:vAlign w:val="top"/>
          </w:tcPr>
          <w:p>
            <w:pPr>
              <w:pStyle w:val="15"/>
              <w:snapToGrid w:val="0"/>
              <w:jc w:val="center"/>
              <w:rPr>
                <w:szCs w:val="20"/>
                <w:lang w:eastAsia="en-GB"/>
              </w:rPr>
            </w:pPr>
            <w:r>
              <w:rPr>
                <w:szCs w:val="20"/>
                <w:lang w:eastAsia="en-GB"/>
              </w:rPr>
              <w:t>0</w:t>
            </w:r>
          </w:p>
        </w:tc>
        <w:tc>
          <w:tcPr>
            <w:tcW w:w="804" w:type="dxa"/>
            <w:vAlign w:val="top"/>
          </w:tcPr>
          <w:p>
            <w:pPr>
              <w:pStyle w:val="15"/>
              <w:snapToGrid w:val="0"/>
              <w:jc w:val="center"/>
              <w:rPr>
                <w:szCs w:val="20"/>
                <w:lang w:eastAsia="en-GB"/>
              </w:rPr>
            </w:pPr>
            <w:r>
              <w:rPr>
                <w:szCs w:val="20"/>
                <w:lang w:eastAsia="en-GB"/>
              </w:rPr>
              <w:t>-1</w:t>
            </w:r>
          </w:p>
        </w:tc>
        <w:tc>
          <w:tcPr>
            <w:tcW w:w="804" w:type="dxa"/>
            <w:vAlign w:val="top"/>
          </w:tcPr>
          <w:p>
            <w:pPr>
              <w:pStyle w:val="15"/>
              <w:snapToGrid w:val="0"/>
              <w:jc w:val="center"/>
              <w:rPr>
                <w:szCs w:val="20"/>
                <w:lang w:eastAsia="en-GB"/>
              </w:rPr>
            </w:pPr>
            <w:r>
              <w:rPr>
                <w:szCs w:val="20"/>
                <w:lang w:eastAsia="en-GB"/>
              </w:rPr>
              <w:t>-2</w:t>
            </w:r>
          </w:p>
        </w:tc>
        <w:tc>
          <w:tcPr>
            <w:tcW w:w="804" w:type="dxa"/>
            <w:vAlign w:val="top"/>
          </w:tcPr>
          <w:p>
            <w:pPr>
              <w:pStyle w:val="15"/>
              <w:snapToGrid w:val="0"/>
              <w:jc w:val="center"/>
              <w:rPr>
                <w:szCs w:val="20"/>
                <w:lang w:eastAsia="en-GB"/>
              </w:rPr>
            </w:pPr>
            <w:r>
              <w:rPr>
                <w:szCs w:val="20"/>
                <w:lang w:eastAsia="en-GB"/>
              </w:rPr>
              <w:t>-3</w:t>
            </w:r>
          </w:p>
        </w:tc>
        <w:tc>
          <w:tcPr>
            <w:tcW w:w="804" w:type="dxa"/>
            <w:vAlign w:val="top"/>
          </w:tcPr>
          <w:p>
            <w:pPr>
              <w:pStyle w:val="15"/>
              <w:snapToGrid w:val="0"/>
              <w:jc w:val="center"/>
              <w:rPr>
                <w:szCs w:val="20"/>
                <w:lang w:eastAsia="en-GB"/>
              </w:rPr>
            </w:pPr>
            <w:r>
              <w:rPr>
                <w:szCs w:val="20"/>
                <w:lang w:eastAsia="en-GB"/>
              </w:rPr>
              <w:t>-4</w:t>
            </w:r>
          </w:p>
        </w:tc>
        <w:tc>
          <w:tcPr>
            <w:tcW w:w="804" w:type="dxa"/>
            <w:vAlign w:val="top"/>
          </w:tcPr>
          <w:p>
            <w:pPr>
              <w:pStyle w:val="15"/>
              <w:snapToGrid w:val="0"/>
              <w:jc w:val="center"/>
              <w:rPr>
                <w:szCs w:val="20"/>
                <w:lang w:eastAsia="en-GB"/>
              </w:rPr>
            </w:pPr>
            <w:r>
              <w:rPr>
                <w:szCs w:val="20"/>
                <w:lang w:eastAsia="en-GB"/>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restart"/>
            <w:vAlign w:val="center"/>
          </w:tcPr>
          <w:p>
            <w:pPr>
              <w:pStyle w:val="15"/>
              <w:snapToGrid w:val="0"/>
              <w:jc w:val="center"/>
              <w:rPr>
                <w:rFonts w:hint="default" w:eastAsia="宋体"/>
                <w:szCs w:val="20"/>
                <w:lang w:val="en-US" w:eastAsia="zh-CN"/>
              </w:rPr>
            </w:pPr>
            <w:r>
              <w:rPr>
                <w:rFonts w:hint="eastAsia" w:eastAsia="宋体"/>
                <w:szCs w:val="20"/>
                <w:lang w:val="en-US" w:eastAsia="zh-CN"/>
              </w:rPr>
              <w:t>Coordinated case</w:t>
            </w:r>
          </w:p>
        </w:tc>
        <w:tc>
          <w:tcPr>
            <w:tcW w:w="2522" w:type="dxa"/>
            <w:vAlign w:val="center"/>
          </w:tcPr>
          <w:p>
            <w:pPr>
              <w:pStyle w:val="15"/>
              <w:snapToGrid w:val="0"/>
              <w:jc w:val="center"/>
              <w:rPr>
                <w:szCs w:val="20"/>
                <w:lang w:eastAsia="en-GB"/>
              </w:rPr>
            </w:pPr>
            <w:r>
              <w:rPr>
                <w:szCs w:val="20"/>
                <w:lang w:eastAsia="en-GB"/>
              </w:rPr>
              <w:t>Average throughput loss (7GHz)</w:t>
            </w:r>
          </w:p>
        </w:tc>
        <w:tc>
          <w:tcPr>
            <w:tcW w:w="804" w:type="dxa"/>
            <w:vAlign w:val="bottom"/>
          </w:tcPr>
          <w:p>
            <w:pPr>
              <w:pStyle w:val="15"/>
              <w:snapToGrid w:val="0"/>
              <w:jc w:val="center"/>
              <w:rPr>
                <w:szCs w:val="20"/>
                <w:lang w:eastAsia="en-GB"/>
              </w:rPr>
            </w:pPr>
            <w:r>
              <w:rPr>
                <w:rFonts w:hint="eastAsia"/>
                <w:szCs w:val="20"/>
                <w:lang w:val="en-US" w:eastAsia="zh-CN"/>
              </w:rPr>
              <w:t xml:space="preserve">0.59 </w:t>
            </w:r>
          </w:p>
        </w:tc>
        <w:tc>
          <w:tcPr>
            <w:tcW w:w="804" w:type="dxa"/>
            <w:vAlign w:val="bottom"/>
          </w:tcPr>
          <w:p>
            <w:pPr>
              <w:pStyle w:val="15"/>
              <w:snapToGrid w:val="0"/>
              <w:jc w:val="center"/>
              <w:rPr>
                <w:szCs w:val="20"/>
                <w:lang w:eastAsia="en-GB"/>
              </w:rPr>
            </w:pPr>
            <w:r>
              <w:rPr>
                <w:rFonts w:hint="eastAsia"/>
                <w:szCs w:val="20"/>
                <w:lang w:val="en-US" w:eastAsia="zh-CN"/>
              </w:rPr>
              <w:t xml:space="preserve">0.68 </w:t>
            </w:r>
          </w:p>
        </w:tc>
        <w:tc>
          <w:tcPr>
            <w:tcW w:w="804" w:type="dxa"/>
            <w:vAlign w:val="bottom"/>
          </w:tcPr>
          <w:p>
            <w:pPr>
              <w:pStyle w:val="15"/>
              <w:snapToGrid w:val="0"/>
              <w:jc w:val="center"/>
              <w:rPr>
                <w:szCs w:val="20"/>
                <w:lang w:eastAsia="en-GB"/>
              </w:rPr>
            </w:pPr>
            <w:r>
              <w:rPr>
                <w:rFonts w:hint="eastAsia"/>
                <w:szCs w:val="20"/>
                <w:lang w:val="en-US" w:eastAsia="zh-CN"/>
              </w:rPr>
              <w:t xml:space="preserve">0.80 </w:t>
            </w:r>
          </w:p>
        </w:tc>
        <w:tc>
          <w:tcPr>
            <w:tcW w:w="804" w:type="dxa"/>
            <w:vAlign w:val="bottom"/>
          </w:tcPr>
          <w:p>
            <w:pPr>
              <w:pStyle w:val="15"/>
              <w:snapToGrid w:val="0"/>
              <w:jc w:val="center"/>
              <w:rPr>
                <w:szCs w:val="20"/>
                <w:lang w:eastAsia="en-GB"/>
              </w:rPr>
            </w:pPr>
            <w:r>
              <w:rPr>
                <w:rFonts w:hint="eastAsia"/>
                <w:szCs w:val="20"/>
                <w:lang w:val="en-US" w:eastAsia="zh-CN"/>
              </w:rPr>
              <w:t xml:space="preserve">0.92 </w:t>
            </w:r>
          </w:p>
        </w:tc>
        <w:tc>
          <w:tcPr>
            <w:tcW w:w="804" w:type="dxa"/>
            <w:vAlign w:val="bottom"/>
          </w:tcPr>
          <w:p>
            <w:pPr>
              <w:pStyle w:val="15"/>
              <w:snapToGrid w:val="0"/>
              <w:jc w:val="center"/>
              <w:rPr>
                <w:szCs w:val="20"/>
                <w:lang w:eastAsia="en-GB"/>
              </w:rPr>
            </w:pPr>
            <w:r>
              <w:rPr>
                <w:rFonts w:hint="eastAsia"/>
                <w:szCs w:val="20"/>
                <w:lang w:val="en-US" w:eastAsia="zh-CN"/>
              </w:rPr>
              <w:t xml:space="preserve">1.06 </w:t>
            </w:r>
          </w:p>
        </w:tc>
        <w:tc>
          <w:tcPr>
            <w:tcW w:w="804" w:type="dxa"/>
            <w:vAlign w:val="bottom"/>
          </w:tcPr>
          <w:p>
            <w:pPr>
              <w:pStyle w:val="15"/>
              <w:snapToGrid w:val="0"/>
              <w:jc w:val="center"/>
              <w:rPr>
                <w:szCs w:val="20"/>
                <w:lang w:eastAsia="en-GB"/>
              </w:rPr>
            </w:pPr>
            <w:r>
              <w:rPr>
                <w:rFonts w:hint="eastAsia"/>
                <w:szCs w:val="20"/>
                <w:lang w:val="en-US" w:eastAsia="zh-CN"/>
              </w:rPr>
              <w:t xml:space="preserve">1.22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continue"/>
            <w:vAlign w:val="center"/>
          </w:tcPr>
          <w:p>
            <w:pPr>
              <w:pStyle w:val="15"/>
              <w:snapToGrid w:val="0"/>
              <w:jc w:val="center"/>
              <w:rPr>
                <w:szCs w:val="20"/>
                <w:lang w:eastAsia="en-GB"/>
              </w:rPr>
            </w:pPr>
          </w:p>
        </w:tc>
        <w:tc>
          <w:tcPr>
            <w:tcW w:w="2522" w:type="dxa"/>
            <w:vAlign w:val="center"/>
          </w:tcPr>
          <w:p>
            <w:pPr>
              <w:pStyle w:val="15"/>
              <w:snapToGrid w:val="0"/>
              <w:jc w:val="center"/>
              <w:rPr>
                <w:szCs w:val="20"/>
                <w:lang w:eastAsia="en-GB"/>
              </w:rPr>
            </w:pPr>
            <w:r>
              <w:rPr>
                <w:szCs w:val="20"/>
                <w:lang w:eastAsia="en-GB"/>
              </w:rPr>
              <w:t>5%-tile throughput loss (7GHz)</w:t>
            </w:r>
          </w:p>
        </w:tc>
        <w:tc>
          <w:tcPr>
            <w:tcW w:w="804" w:type="dxa"/>
            <w:vAlign w:val="bottom"/>
          </w:tcPr>
          <w:p>
            <w:pPr>
              <w:pStyle w:val="15"/>
              <w:snapToGrid w:val="0"/>
              <w:jc w:val="center"/>
              <w:rPr>
                <w:szCs w:val="20"/>
                <w:lang w:eastAsia="en-GB"/>
              </w:rPr>
            </w:pPr>
            <w:r>
              <w:rPr>
                <w:rFonts w:hint="eastAsia"/>
                <w:szCs w:val="20"/>
                <w:lang w:val="en-US" w:eastAsia="zh-CN"/>
              </w:rPr>
              <w:t xml:space="preserve">1.32 </w:t>
            </w:r>
          </w:p>
        </w:tc>
        <w:tc>
          <w:tcPr>
            <w:tcW w:w="804" w:type="dxa"/>
            <w:vAlign w:val="bottom"/>
          </w:tcPr>
          <w:p>
            <w:pPr>
              <w:pStyle w:val="15"/>
              <w:snapToGrid w:val="0"/>
              <w:jc w:val="center"/>
              <w:rPr>
                <w:szCs w:val="20"/>
                <w:lang w:eastAsia="en-GB"/>
              </w:rPr>
            </w:pPr>
            <w:r>
              <w:rPr>
                <w:rFonts w:hint="eastAsia"/>
                <w:szCs w:val="20"/>
                <w:lang w:val="en-US" w:eastAsia="zh-CN"/>
              </w:rPr>
              <w:t xml:space="preserve">1.86 </w:t>
            </w:r>
          </w:p>
        </w:tc>
        <w:tc>
          <w:tcPr>
            <w:tcW w:w="804" w:type="dxa"/>
            <w:vAlign w:val="bottom"/>
          </w:tcPr>
          <w:p>
            <w:pPr>
              <w:pStyle w:val="15"/>
              <w:snapToGrid w:val="0"/>
              <w:jc w:val="center"/>
              <w:rPr>
                <w:szCs w:val="20"/>
                <w:lang w:eastAsia="en-GB"/>
              </w:rPr>
            </w:pPr>
            <w:r>
              <w:rPr>
                <w:rFonts w:hint="eastAsia"/>
                <w:szCs w:val="20"/>
                <w:lang w:val="en-US" w:eastAsia="zh-CN"/>
              </w:rPr>
              <w:t xml:space="preserve">2.27 </w:t>
            </w:r>
          </w:p>
        </w:tc>
        <w:tc>
          <w:tcPr>
            <w:tcW w:w="804" w:type="dxa"/>
            <w:vAlign w:val="bottom"/>
          </w:tcPr>
          <w:p>
            <w:pPr>
              <w:pStyle w:val="15"/>
              <w:snapToGrid w:val="0"/>
              <w:jc w:val="center"/>
              <w:rPr>
                <w:szCs w:val="20"/>
                <w:lang w:eastAsia="en-GB"/>
              </w:rPr>
            </w:pPr>
            <w:r>
              <w:rPr>
                <w:rFonts w:hint="eastAsia"/>
                <w:szCs w:val="20"/>
                <w:lang w:val="en-US" w:eastAsia="zh-CN"/>
              </w:rPr>
              <w:t xml:space="preserve">2.93 </w:t>
            </w:r>
          </w:p>
        </w:tc>
        <w:tc>
          <w:tcPr>
            <w:tcW w:w="804" w:type="dxa"/>
            <w:vAlign w:val="bottom"/>
          </w:tcPr>
          <w:p>
            <w:pPr>
              <w:pStyle w:val="15"/>
              <w:snapToGrid w:val="0"/>
              <w:jc w:val="center"/>
              <w:rPr>
                <w:szCs w:val="20"/>
                <w:lang w:eastAsia="en-GB"/>
              </w:rPr>
            </w:pPr>
            <w:r>
              <w:rPr>
                <w:rFonts w:hint="eastAsia"/>
                <w:szCs w:val="20"/>
                <w:lang w:val="en-US" w:eastAsia="zh-CN"/>
              </w:rPr>
              <w:t xml:space="preserve">3.66 </w:t>
            </w:r>
          </w:p>
        </w:tc>
        <w:tc>
          <w:tcPr>
            <w:tcW w:w="804" w:type="dxa"/>
            <w:vAlign w:val="bottom"/>
          </w:tcPr>
          <w:p>
            <w:pPr>
              <w:pStyle w:val="15"/>
              <w:snapToGrid w:val="0"/>
              <w:jc w:val="center"/>
              <w:rPr>
                <w:szCs w:val="20"/>
                <w:lang w:eastAsia="en-GB"/>
              </w:rPr>
            </w:pPr>
            <w:r>
              <w:rPr>
                <w:rFonts w:hint="eastAsia"/>
                <w:szCs w:val="20"/>
                <w:highlight w:val="yellow"/>
                <w:lang w:val="en-US" w:eastAsia="zh-CN"/>
              </w:rPr>
              <w:t xml:space="preserve">4.33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restart"/>
            <w:vAlign w:val="center"/>
          </w:tcPr>
          <w:p>
            <w:pPr>
              <w:pStyle w:val="15"/>
              <w:snapToGrid w:val="0"/>
              <w:jc w:val="center"/>
              <w:rPr>
                <w:rFonts w:hint="default" w:eastAsia="宋体"/>
                <w:szCs w:val="20"/>
                <w:lang w:val="en-US" w:eastAsia="zh-CN"/>
              </w:rPr>
            </w:pPr>
            <w:r>
              <w:rPr>
                <w:rFonts w:hint="eastAsia" w:eastAsia="宋体"/>
                <w:szCs w:val="20"/>
                <w:lang w:val="en-US" w:eastAsia="zh-CN"/>
              </w:rPr>
              <w:t>Uncoordinated case</w:t>
            </w:r>
          </w:p>
        </w:tc>
        <w:tc>
          <w:tcPr>
            <w:tcW w:w="2522" w:type="dxa"/>
            <w:vAlign w:val="center"/>
          </w:tcPr>
          <w:p>
            <w:pPr>
              <w:pStyle w:val="15"/>
              <w:snapToGrid w:val="0"/>
              <w:jc w:val="center"/>
              <w:rPr>
                <w:szCs w:val="20"/>
                <w:lang w:eastAsia="en-GB"/>
              </w:rPr>
            </w:pPr>
            <w:r>
              <w:rPr>
                <w:szCs w:val="20"/>
                <w:lang w:eastAsia="en-GB"/>
              </w:rPr>
              <w:t>Average throughput loss (7GHz)</w:t>
            </w:r>
          </w:p>
        </w:tc>
        <w:tc>
          <w:tcPr>
            <w:tcW w:w="804" w:type="dxa"/>
            <w:vAlign w:val="bottom"/>
          </w:tcPr>
          <w:p>
            <w:pPr>
              <w:pStyle w:val="15"/>
              <w:snapToGrid w:val="0"/>
              <w:jc w:val="center"/>
              <w:rPr>
                <w:szCs w:val="20"/>
                <w:lang w:eastAsia="en-GB"/>
              </w:rPr>
            </w:pPr>
            <w:r>
              <w:rPr>
                <w:rFonts w:hint="eastAsia"/>
                <w:szCs w:val="20"/>
                <w:lang w:val="en-US" w:eastAsia="zh-CN"/>
              </w:rPr>
              <w:t xml:space="preserve">0.74 </w:t>
            </w:r>
          </w:p>
        </w:tc>
        <w:tc>
          <w:tcPr>
            <w:tcW w:w="804" w:type="dxa"/>
            <w:vAlign w:val="bottom"/>
          </w:tcPr>
          <w:p>
            <w:pPr>
              <w:pStyle w:val="15"/>
              <w:snapToGrid w:val="0"/>
              <w:jc w:val="center"/>
              <w:rPr>
                <w:szCs w:val="20"/>
                <w:lang w:eastAsia="en-GB"/>
              </w:rPr>
            </w:pPr>
            <w:r>
              <w:rPr>
                <w:rFonts w:hint="eastAsia"/>
                <w:szCs w:val="20"/>
                <w:lang w:val="en-US" w:eastAsia="zh-CN"/>
              </w:rPr>
              <w:t xml:space="preserve">0.85 </w:t>
            </w:r>
          </w:p>
        </w:tc>
        <w:tc>
          <w:tcPr>
            <w:tcW w:w="804" w:type="dxa"/>
            <w:vAlign w:val="bottom"/>
          </w:tcPr>
          <w:p>
            <w:pPr>
              <w:pStyle w:val="15"/>
              <w:snapToGrid w:val="0"/>
              <w:jc w:val="center"/>
              <w:rPr>
                <w:szCs w:val="20"/>
                <w:lang w:eastAsia="en-GB"/>
              </w:rPr>
            </w:pPr>
            <w:r>
              <w:rPr>
                <w:rFonts w:hint="eastAsia"/>
                <w:szCs w:val="20"/>
                <w:lang w:val="en-US" w:eastAsia="zh-CN"/>
              </w:rPr>
              <w:t xml:space="preserve">0.98 </w:t>
            </w:r>
          </w:p>
        </w:tc>
        <w:tc>
          <w:tcPr>
            <w:tcW w:w="804" w:type="dxa"/>
            <w:vAlign w:val="bottom"/>
          </w:tcPr>
          <w:p>
            <w:pPr>
              <w:pStyle w:val="15"/>
              <w:snapToGrid w:val="0"/>
              <w:jc w:val="center"/>
              <w:rPr>
                <w:szCs w:val="20"/>
                <w:lang w:eastAsia="en-GB"/>
              </w:rPr>
            </w:pPr>
            <w:r>
              <w:rPr>
                <w:rFonts w:hint="eastAsia"/>
                <w:szCs w:val="20"/>
                <w:lang w:val="en-US" w:eastAsia="zh-CN"/>
              </w:rPr>
              <w:t xml:space="preserve">1.13 </w:t>
            </w:r>
          </w:p>
        </w:tc>
        <w:tc>
          <w:tcPr>
            <w:tcW w:w="804" w:type="dxa"/>
            <w:vAlign w:val="bottom"/>
          </w:tcPr>
          <w:p>
            <w:pPr>
              <w:pStyle w:val="15"/>
              <w:snapToGrid w:val="0"/>
              <w:jc w:val="center"/>
              <w:rPr>
                <w:szCs w:val="20"/>
                <w:lang w:eastAsia="en-GB"/>
              </w:rPr>
            </w:pPr>
            <w:r>
              <w:rPr>
                <w:rFonts w:hint="eastAsia"/>
                <w:szCs w:val="20"/>
                <w:lang w:val="en-US" w:eastAsia="zh-CN"/>
              </w:rPr>
              <w:t xml:space="preserve">1.29 </w:t>
            </w:r>
          </w:p>
        </w:tc>
        <w:tc>
          <w:tcPr>
            <w:tcW w:w="804" w:type="dxa"/>
            <w:vAlign w:val="bottom"/>
          </w:tcPr>
          <w:p>
            <w:pPr>
              <w:pStyle w:val="15"/>
              <w:snapToGrid w:val="0"/>
              <w:jc w:val="center"/>
              <w:rPr>
                <w:szCs w:val="20"/>
                <w:lang w:eastAsia="en-GB"/>
              </w:rPr>
            </w:pPr>
            <w:r>
              <w:rPr>
                <w:rFonts w:hint="eastAsia"/>
                <w:szCs w:val="20"/>
                <w:lang w:val="en-US" w:eastAsia="zh-CN"/>
              </w:rPr>
              <w:t xml:space="preserve">1.49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continue"/>
            <w:vAlign w:val="center"/>
          </w:tcPr>
          <w:p>
            <w:pPr>
              <w:pStyle w:val="15"/>
              <w:snapToGrid w:val="0"/>
              <w:jc w:val="center"/>
              <w:rPr>
                <w:szCs w:val="20"/>
                <w:lang w:eastAsia="en-GB"/>
              </w:rPr>
            </w:pPr>
          </w:p>
        </w:tc>
        <w:tc>
          <w:tcPr>
            <w:tcW w:w="2522" w:type="dxa"/>
            <w:vAlign w:val="center"/>
          </w:tcPr>
          <w:p>
            <w:pPr>
              <w:pStyle w:val="15"/>
              <w:snapToGrid w:val="0"/>
              <w:jc w:val="center"/>
              <w:rPr>
                <w:szCs w:val="20"/>
                <w:lang w:eastAsia="en-GB"/>
              </w:rPr>
            </w:pPr>
            <w:r>
              <w:rPr>
                <w:szCs w:val="20"/>
                <w:lang w:eastAsia="en-GB"/>
              </w:rPr>
              <w:t>5%-tile throughput loss (7GHz)</w:t>
            </w:r>
          </w:p>
        </w:tc>
        <w:tc>
          <w:tcPr>
            <w:tcW w:w="804" w:type="dxa"/>
            <w:vAlign w:val="bottom"/>
          </w:tcPr>
          <w:p>
            <w:pPr>
              <w:pStyle w:val="15"/>
              <w:snapToGrid w:val="0"/>
              <w:jc w:val="center"/>
              <w:rPr>
                <w:szCs w:val="20"/>
                <w:lang w:eastAsia="en-GB"/>
              </w:rPr>
            </w:pPr>
            <w:r>
              <w:rPr>
                <w:rFonts w:hint="eastAsia"/>
                <w:szCs w:val="20"/>
                <w:lang w:val="en-US" w:eastAsia="zh-CN"/>
              </w:rPr>
              <w:t xml:space="preserve">1.82 </w:t>
            </w:r>
          </w:p>
        </w:tc>
        <w:tc>
          <w:tcPr>
            <w:tcW w:w="804" w:type="dxa"/>
            <w:vAlign w:val="bottom"/>
          </w:tcPr>
          <w:p>
            <w:pPr>
              <w:pStyle w:val="15"/>
              <w:snapToGrid w:val="0"/>
              <w:jc w:val="center"/>
              <w:rPr>
                <w:szCs w:val="20"/>
                <w:lang w:eastAsia="en-GB"/>
              </w:rPr>
            </w:pPr>
            <w:r>
              <w:rPr>
                <w:rFonts w:hint="eastAsia"/>
                <w:szCs w:val="20"/>
                <w:lang w:val="en-US" w:eastAsia="zh-CN"/>
              </w:rPr>
              <w:t xml:space="preserve">2.10 </w:t>
            </w:r>
          </w:p>
        </w:tc>
        <w:tc>
          <w:tcPr>
            <w:tcW w:w="804" w:type="dxa"/>
            <w:vAlign w:val="bottom"/>
          </w:tcPr>
          <w:p>
            <w:pPr>
              <w:pStyle w:val="15"/>
              <w:snapToGrid w:val="0"/>
              <w:jc w:val="center"/>
              <w:rPr>
                <w:szCs w:val="20"/>
                <w:lang w:eastAsia="en-GB"/>
              </w:rPr>
            </w:pPr>
            <w:r>
              <w:rPr>
                <w:rFonts w:hint="eastAsia"/>
                <w:szCs w:val="20"/>
                <w:lang w:val="en-US" w:eastAsia="zh-CN"/>
              </w:rPr>
              <w:t xml:space="preserve">2.62 </w:t>
            </w:r>
          </w:p>
        </w:tc>
        <w:tc>
          <w:tcPr>
            <w:tcW w:w="804" w:type="dxa"/>
            <w:vAlign w:val="bottom"/>
          </w:tcPr>
          <w:p>
            <w:pPr>
              <w:pStyle w:val="15"/>
              <w:snapToGrid w:val="0"/>
              <w:jc w:val="center"/>
              <w:rPr>
                <w:szCs w:val="20"/>
                <w:lang w:eastAsia="en-GB"/>
              </w:rPr>
            </w:pPr>
            <w:r>
              <w:rPr>
                <w:rFonts w:hint="eastAsia"/>
                <w:szCs w:val="20"/>
                <w:lang w:val="en-US" w:eastAsia="zh-CN"/>
              </w:rPr>
              <w:t xml:space="preserve">3.31 </w:t>
            </w:r>
          </w:p>
        </w:tc>
        <w:tc>
          <w:tcPr>
            <w:tcW w:w="804" w:type="dxa"/>
            <w:vAlign w:val="bottom"/>
          </w:tcPr>
          <w:p>
            <w:pPr>
              <w:pStyle w:val="15"/>
              <w:snapToGrid w:val="0"/>
              <w:jc w:val="center"/>
              <w:rPr>
                <w:szCs w:val="20"/>
                <w:lang w:eastAsia="en-GB"/>
              </w:rPr>
            </w:pPr>
            <w:r>
              <w:rPr>
                <w:rFonts w:hint="eastAsia"/>
                <w:szCs w:val="20"/>
                <w:lang w:val="en-US" w:eastAsia="zh-CN"/>
              </w:rPr>
              <w:t xml:space="preserve">4.06 </w:t>
            </w:r>
          </w:p>
        </w:tc>
        <w:tc>
          <w:tcPr>
            <w:tcW w:w="804" w:type="dxa"/>
            <w:vAlign w:val="bottom"/>
          </w:tcPr>
          <w:p>
            <w:pPr>
              <w:pStyle w:val="15"/>
              <w:snapToGrid w:val="0"/>
              <w:jc w:val="center"/>
              <w:rPr>
                <w:szCs w:val="20"/>
                <w:lang w:eastAsia="en-GB"/>
              </w:rPr>
            </w:pPr>
            <w:r>
              <w:rPr>
                <w:rFonts w:hint="eastAsia"/>
                <w:szCs w:val="20"/>
                <w:highlight w:val="yellow"/>
                <w:lang w:val="en-US" w:eastAsia="zh-CN"/>
              </w:rPr>
              <w:t xml:space="preserve">4.91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restart"/>
            <w:vAlign w:val="center"/>
          </w:tcPr>
          <w:p>
            <w:pPr>
              <w:pStyle w:val="15"/>
              <w:snapToGrid w:val="0"/>
              <w:jc w:val="center"/>
              <w:rPr>
                <w:szCs w:val="20"/>
                <w:lang w:eastAsia="en-GB"/>
              </w:rPr>
            </w:pPr>
            <w:r>
              <w:rPr>
                <w:rFonts w:hint="eastAsia" w:eastAsia="宋体"/>
                <w:szCs w:val="20"/>
                <w:lang w:val="en-US" w:eastAsia="zh-CN"/>
              </w:rPr>
              <w:t>Coordinated case</w:t>
            </w:r>
          </w:p>
        </w:tc>
        <w:tc>
          <w:tcPr>
            <w:tcW w:w="2522" w:type="dxa"/>
            <w:vAlign w:val="center"/>
          </w:tcPr>
          <w:p>
            <w:pPr>
              <w:pStyle w:val="15"/>
              <w:snapToGrid w:val="0"/>
              <w:jc w:val="center"/>
              <w:rPr>
                <w:szCs w:val="20"/>
                <w:lang w:eastAsia="en-GB"/>
              </w:rPr>
            </w:pPr>
            <w:r>
              <w:rPr>
                <w:szCs w:val="20"/>
                <w:lang w:eastAsia="en-GB"/>
              </w:rPr>
              <w:t>Average throughput loss (10GHz)</w:t>
            </w:r>
          </w:p>
        </w:tc>
        <w:tc>
          <w:tcPr>
            <w:tcW w:w="804" w:type="dxa"/>
            <w:vAlign w:val="bottom"/>
          </w:tcPr>
          <w:p>
            <w:pPr>
              <w:pStyle w:val="15"/>
              <w:snapToGrid w:val="0"/>
              <w:jc w:val="center"/>
              <w:rPr>
                <w:szCs w:val="20"/>
                <w:lang w:eastAsia="en-GB"/>
              </w:rPr>
            </w:pPr>
            <w:r>
              <w:rPr>
                <w:rFonts w:hint="eastAsia"/>
                <w:szCs w:val="20"/>
                <w:lang w:val="en-US" w:eastAsia="zh-CN"/>
              </w:rPr>
              <w:t xml:space="preserve">0.59 </w:t>
            </w:r>
          </w:p>
        </w:tc>
        <w:tc>
          <w:tcPr>
            <w:tcW w:w="804" w:type="dxa"/>
            <w:vAlign w:val="bottom"/>
          </w:tcPr>
          <w:p>
            <w:pPr>
              <w:pStyle w:val="15"/>
              <w:snapToGrid w:val="0"/>
              <w:jc w:val="center"/>
              <w:rPr>
                <w:szCs w:val="20"/>
                <w:lang w:eastAsia="en-GB"/>
              </w:rPr>
            </w:pPr>
            <w:r>
              <w:rPr>
                <w:rFonts w:hint="eastAsia"/>
                <w:szCs w:val="20"/>
                <w:lang w:val="en-US" w:eastAsia="zh-CN"/>
              </w:rPr>
              <w:t xml:space="preserve">0.68 </w:t>
            </w:r>
          </w:p>
        </w:tc>
        <w:tc>
          <w:tcPr>
            <w:tcW w:w="804" w:type="dxa"/>
            <w:vAlign w:val="bottom"/>
          </w:tcPr>
          <w:p>
            <w:pPr>
              <w:pStyle w:val="15"/>
              <w:snapToGrid w:val="0"/>
              <w:jc w:val="center"/>
              <w:rPr>
                <w:szCs w:val="20"/>
                <w:lang w:eastAsia="en-GB"/>
              </w:rPr>
            </w:pPr>
            <w:r>
              <w:rPr>
                <w:rFonts w:hint="eastAsia"/>
                <w:szCs w:val="20"/>
                <w:lang w:val="en-US" w:eastAsia="zh-CN"/>
              </w:rPr>
              <w:t xml:space="preserve">0.79 </w:t>
            </w:r>
          </w:p>
        </w:tc>
        <w:tc>
          <w:tcPr>
            <w:tcW w:w="804" w:type="dxa"/>
            <w:vAlign w:val="bottom"/>
          </w:tcPr>
          <w:p>
            <w:pPr>
              <w:pStyle w:val="15"/>
              <w:snapToGrid w:val="0"/>
              <w:jc w:val="center"/>
              <w:rPr>
                <w:szCs w:val="20"/>
                <w:lang w:eastAsia="en-GB"/>
              </w:rPr>
            </w:pPr>
            <w:r>
              <w:rPr>
                <w:rFonts w:hint="eastAsia"/>
                <w:szCs w:val="20"/>
                <w:lang w:val="en-US" w:eastAsia="zh-CN"/>
              </w:rPr>
              <w:t xml:space="preserve">0.92 </w:t>
            </w:r>
          </w:p>
        </w:tc>
        <w:tc>
          <w:tcPr>
            <w:tcW w:w="804" w:type="dxa"/>
            <w:vAlign w:val="bottom"/>
          </w:tcPr>
          <w:p>
            <w:pPr>
              <w:pStyle w:val="15"/>
              <w:snapToGrid w:val="0"/>
              <w:jc w:val="center"/>
              <w:rPr>
                <w:szCs w:val="20"/>
                <w:lang w:eastAsia="en-GB"/>
              </w:rPr>
            </w:pPr>
            <w:r>
              <w:rPr>
                <w:rFonts w:hint="eastAsia"/>
                <w:szCs w:val="20"/>
                <w:lang w:val="en-US" w:eastAsia="zh-CN"/>
              </w:rPr>
              <w:t xml:space="preserve">1.08 </w:t>
            </w:r>
          </w:p>
        </w:tc>
        <w:tc>
          <w:tcPr>
            <w:tcW w:w="804" w:type="dxa"/>
            <w:vAlign w:val="bottom"/>
          </w:tcPr>
          <w:p>
            <w:pPr>
              <w:pStyle w:val="15"/>
              <w:snapToGrid w:val="0"/>
              <w:jc w:val="center"/>
              <w:rPr>
                <w:szCs w:val="20"/>
                <w:lang w:eastAsia="en-GB"/>
              </w:rPr>
            </w:pPr>
            <w:r>
              <w:rPr>
                <w:rFonts w:hint="eastAsia"/>
                <w:szCs w:val="20"/>
                <w:lang w:val="en-US" w:eastAsia="zh-CN"/>
              </w:rPr>
              <w:t xml:space="preserve">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continue"/>
            <w:vAlign w:val="center"/>
          </w:tcPr>
          <w:p>
            <w:pPr>
              <w:pStyle w:val="15"/>
              <w:snapToGrid w:val="0"/>
              <w:jc w:val="center"/>
              <w:rPr>
                <w:szCs w:val="20"/>
                <w:lang w:eastAsia="en-GB"/>
              </w:rPr>
            </w:pPr>
          </w:p>
        </w:tc>
        <w:tc>
          <w:tcPr>
            <w:tcW w:w="2522" w:type="dxa"/>
            <w:vAlign w:val="center"/>
          </w:tcPr>
          <w:p>
            <w:pPr>
              <w:pStyle w:val="15"/>
              <w:snapToGrid w:val="0"/>
              <w:jc w:val="center"/>
              <w:rPr>
                <w:szCs w:val="20"/>
                <w:lang w:eastAsia="en-GB"/>
              </w:rPr>
            </w:pPr>
            <w:r>
              <w:rPr>
                <w:szCs w:val="20"/>
                <w:lang w:eastAsia="en-GB"/>
              </w:rPr>
              <w:t>5%-tile throughput loss (10GHz)</w:t>
            </w:r>
          </w:p>
        </w:tc>
        <w:tc>
          <w:tcPr>
            <w:tcW w:w="804" w:type="dxa"/>
            <w:vAlign w:val="bottom"/>
          </w:tcPr>
          <w:p>
            <w:pPr>
              <w:pStyle w:val="15"/>
              <w:snapToGrid w:val="0"/>
              <w:jc w:val="center"/>
              <w:rPr>
                <w:szCs w:val="20"/>
                <w:lang w:eastAsia="en-GB"/>
              </w:rPr>
            </w:pPr>
            <w:r>
              <w:rPr>
                <w:rFonts w:hint="eastAsia"/>
                <w:szCs w:val="20"/>
                <w:lang w:val="en-US" w:eastAsia="zh-CN"/>
              </w:rPr>
              <w:t xml:space="preserve">1.69 </w:t>
            </w:r>
          </w:p>
        </w:tc>
        <w:tc>
          <w:tcPr>
            <w:tcW w:w="804" w:type="dxa"/>
            <w:vAlign w:val="bottom"/>
          </w:tcPr>
          <w:p>
            <w:pPr>
              <w:pStyle w:val="15"/>
              <w:snapToGrid w:val="0"/>
              <w:jc w:val="center"/>
              <w:rPr>
                <w:szCs w:val="20"/>
                <w:lang w:eastAsia="en-GB"/>
              </w:rPr>
            </w:pPr>
            <w:r>
              <w:rPr>
                <w:rFonts w:hint="eastAsia"/>
                <w:szCs w:val="20"/>
                <w:lang w:val="en-US" w:eastAsia="zh-CN"/>
              </w:rPr>
              <w:t xml:space="preserve">2.05 </w:t>
            </w:r>
          </w:p>
        </w:tc>
        <w:tc>
          <w:tcPr>
            <w:tcW w:w="804" w:type="dxa"/>
            <w:vAlign w:val="bottom"/>
          </w:tcPr>
          <w:p>
            <w:pPr>
              <w:pStyle w:val="15"/>
              <w:snapToGrid w:val="0"/>
              <w:jc w:val="center"/>
              <w:rPr>
                <w:szCs w:val="20"/>
                <w:lang w:eastAsia="en-GB"/>
              </w:rPr>
            </w:pPr>
            <w:r>
              <w:rPr>
                <w:rFonts w:hint="eastAsia"/>
                <w:szCs w:val="20"/>
                <w:lang w:val="en-US" w:eastAsia="zh-CN"/>
              </w:rPr>
              <w:t xml:space="preserve">2.57 </w:t>
            </w:r>
          </w:p>
        </w:tc>
        <w:tc>
          <w:tcPr>
            <w:tcW w:w="804" w:type="dxa"/>
            <w:vAlign w:val="bottom"/>
          </w:tcPr>
          <w:p>
            <w:pPr>
              <w:pStyle w:val="15"/>
              <w:snapToGrid w:val="0"/>
              <w:jc w:val="center"/>
              <w:rPr>
                <w:szCs w:val="20"/>
                <w:lang w:eastAsia="en-GB"/>
              </w:rPr>
            </w:pPr>
            <w:r>
              <w:rPr>
                <w:rFonts w:hint="eastAsia"/>
                <w:szCs w:val="20"/>
                <w:lang w:val="en-US" w:eastAsia="zh-CN"/>
              </w:rPr>
              <w:t xml:space="preserve">2.99 </w:t>
            </w:r>
          </w:p>
        </w:tc>
        <w:tc>
          <w:tcPr>
            <w:tcW w:w="804" w:type="dxa"/>
            <w:vAlign w:val="bottom"/>
          </w:tcPr>
          <w:p>
            <w:pPr>
              <w:pStyle w:val="15"/>
              <w:snapToGrid w:val="0"/>
              <w:jc w:val="center"/>
              <w:rPr>
                <w:szCs w:val="20"/>
                <w:lang w:eastAsia="en-GB"/>
              </w:rPr>
            </w:pPr>
            <w:r>
              <w:rPr>
                <w:rFonts w:hint="eastAsia"/>
                <w:szCs w:val="20"/>
                <w:lang w:val="en-US" w:eastAsia="zh-CN"/>
              </w:rPr>
              <w:t xml:space="preserve">3.37 </w:t>
            </w:r>
          </w:p>
        </w:tc>
        <w:tc>
          <w:tcPr>
            <w:tcW w:w="804" w:type="dxa"/>
            <w:vAlign w:val="bottom"/>
          </w:tcPr>
          <w:p>
            <w:pPr>
              <w:pStyle w:val="15"/>
              <w:snapToGrid w:val="0"/>
              <w:jc w:val="center"/>
              <w:rPr>
                <w:szCs w:val="20"/>
                <w:lang w:eastAsia="en-GB"/>
              </w:rPr>
            </w:pPr>
            <w:r>
              <w:rPr>
                <w:rFonts w:hint="eastAsia"/>
                <w:szCs w:val="20"/>
                <w:highlight w:val="yellow"/>
                <w:lang w:val="en-US" w:eastAsia="zh-CN"/>
              </w:rPr>
              <w:t>3.86</w:t>
            </w:r>
            <w:r>
              <w:rPr>
                <w:rFonts w:hint="eastAsia"/>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restart"/>
            <w:vAlign w:val="center"/>
          </w:tcPr>
          <w:p>
            <w:pPr>
              <w:pStyle w:val="15"/>
              <w:snapToGrid w:val="0"/>
              <w:jc w:val="center"/>
              <w:rPr>
                <w:szCs w:val="20"/>
                <w:lang w:eastAsia="en-GB"/>
              </w:rPr>
            </w:pPr>
            <w:r>
              <w:rPr>
                <w:rFonts w:hint="eastAsia" w:eastAsia="宋体"/>
                <w:szCs w:val="20"/>
                <w:lang w:val="en-US" w:eastAsia="zh-CN"/>
              </w:rPr>
              <w:t>Uncoordinated case</w:t>
            </w:r>
          </w:p>
        </w:tc>
        <w:tc>
          <w:tcPr>
            <w:tcW w:w="2522" w:type="dxa"/>
            <w:vAlign w:val="center"/>
          </w:tcPr>
          <w:p>
            <w:pPr>
              <w:pStyle w:val="15"/>
              <w:snapToGrid w:val="0"/>
              <w:jc w:val="center"/>
              <w:rPr>
                <w:szCs w:val="20"/>
                <w:lang w:eastAsia="en-GB"/>
              </w:rPr>
            </w:pPr>
            <w:r>
              <w:rPr>
                <w:szCs w:val="20"/>
                <w:lang w:eastAsia="en-GB"/>
              </w:rPr>
              <w:t>Average throughput loss (10GHz)</w:t>
            </w:r>
          </w:p>
        </w:tc>
        <w:tc>
          <w:tcPr>
            <w:tcW w:w="804" w:type="dxa"/>
            <w:vAlign w:val="bottom"/>
          </w:tcPr>
          <w:p>
            <w:pPr>
              <w:pStyle w:val="15"/>
              <w:snapToGrid w:val="0"/>
              <w:jc w:val="center"/>
              <w:rPr>
                <w:szCs w:val="20"/>
                <w:lang w:eastAsia="en-GB"/>
              </w:rPr>
            </w:pPr>
            <w:r>
              <w:rPr>
                <w:rFonts w:hint="eastAsia"/>
                <w:szCs w:val="20"/>
                <w:lang w:val="en-US" w:eastAsia="zh-CN"/>
              </w:rPr>
              <w:t xml:space="preserve">0.75 </w:t>
            </w:r>
          </w:p>
        </w:tc>
        <w:tc>
          <w:tcPr>
            <w:tcW w:w="804" w:type="dxa"/>
            <w:vAlign w:val="bottom"/>
          </w:tcPr>
          <w:p>
            <w:pPr>
              <w:pStyle w:val="15"/>
              <w:snapToGrid w:val="0"/>
              <w:jc w:val="center"/>
              <w:rPr>
                <w:szCs w:val="20"/>
                <w:lang w:eastAsia="en-GB"/>
              </w:rPr>
            </w:pPr>
            <w:r>
              <w:rPr>
                <w:rFonts w:hint="eastAsia"/>
                <w:szCs w:val="20"/>
                <w:lang w:val="en-US" w:eastAsia="zh-CN"/>
              </w:rPr>
              <w:t xml:space="preserve">0.86 </w:t>
            </w:r>
          </w:p>
        </w:tc>
        <w:tc>
          <w:tcPr>
            <w:tcW w:w="804" w:type="dxa"/>
            <w:vAlign w:val="bottom"/>
          </w:tcPr>
          <w:p>
            <w:pPr>
              <w:pStyle w:val="15"/>
              <w:snapToGrid w:val="0"/>
              <w:jc w:val="center"/>
              <w:rPr>
                <w:szCs w:val="20"/>
                <w:lang w:eastAsia="en-GB"/>
              </w:rPr>
            </w:pPr>
            <w:r>
              <w:rPr>
                <w:rFonts w:hint="eastAsia"/>
                <w:szCs w:val="20"/>
                <w:lang w:val="en-US" w:eastAsia="zh-CN"/>
              </w:rPr>
              <w:t xml:space="preserve">1.01 </w:t>
            </w:r>
          </w:p>
        </w:tc>
        <w:tc>
          <w:tcPr>
            <w:tcW w:w="804" w:type="dxa"/>
            <w:vAlign w:val="bottom"/>
          </w:tcPr>
          <w:p>
            <w:pPr>
              <w:pStyle w:val="15"/>
              <w:snapToGrid w:val="0"/>
              <w:jc w:val="center"/>
              <w:rPr>
                <w:szCs w:val="20"/>
                <w:lang w:eastAsia="en-GB"/>
              </w:rPr>
            </w:pPr>
            <w:r>
              <w:rPr>
                <w:rFonts w:hint="eastAsia"/>
                <w:szCs w:val="20"/>
                <w:lang w:val="en-US" w:eastAsia="zh-CN"/>
              </w:rPr>
              <w:t xml:space="preserve">1.17 </w:t>
            </w:r>
          </w:p>
        </w:tc>
        <w:tc>
          <w:tcPr>
            <w:tcW w:w="804" w:type="dxa"/>
            <w:vAlign w:val="bottom"/>
          </w:tcPr>
          <w:p>
            <w:pPr>
              <w:pStyle w:val="15"/>
              <w:snapToGrid w:val="0"/>
              <w:jc w:val="center"/>
              <w:rPr>
                <w:szCs w:val="20"/>
                <w:lang w:eastAsia="en-GB"/>
              </w:rPr>
            </w:pPr>
            <w:r>
              <w:rPr>
                <w:rFonts w:hint="eastAsia"/>
                <w:szCs w:val="20"/>
                <w:lang w:val="en-US" w:eastAsia="zh-CN"/>
              </w:rPr>
              <w:t xml:space="preserve">1.36 </w:t>
            </w:r>
          </w:p>
        </w:tc>
        <w:tc>
          <w:tcPr>
            <w:tcW w:w="804" w:type="dxa"/>
            <w:vAlign w:val="bottom"/>
          </w:tcPr>
          <w:p>
            <w:pPr>
              <w:pStyle w:val="15"/>
              <w:snapToGrid w:val="0"/>
              <w:jc w:val="center"/>
              <w:rPr>
                <w:szCs w:val="20"/>
                <w:lang w:eastAsia="en-GB"/>
              </w:rPr>
            </w:pPr>
            <w:r>
              <w:rPr>
                <w:rFonts w:hint="eastAsia"/>
                <w:szCs w:val="20"/>
                <w:lang w:val="en-US" w:eastAsia="zh-CN"/>
              </w:rPr>
              <w:t xml:space="preserve">1.54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522" w:type="dxa"/>
            <w:vMerge w:val="continue"/>
            <w:vAlign w:val="center"/>
          </w:tcPr>
          <w:p>
            <w:pPr>
              <w:pStyle w:val="15"/>
              <w:snapToGrid w:val="0"/>
              <w:jc w:val="center"/>
              <w:rPr>
                <w:szCs w:val="20"/>
                <w:lang w:eastAsia="en-GB"/>
              </w:rPr>
            </w:pPr>
          </w:p>
        </w:tc>
        <w:tc>
          <w:tcPr>
            <w:tcW w:w="2522" w:type="dxa"/>
            <w:vAlign w:val="center"/>
          </w:tcPr>
          <w:p>
            <w:pPr>
              <w:pStyle w:val="15"/>
              <w:snapToGrid w:val="0"/>
              <w:jc w:val="center"/>
              <w:rPr>
                <w:szCs w:val="20"/>
                <w:lang w:eastAsia="en-GB"/>
              </w:rPr>
            </w:pPr>
            <w:r>
              <w:rPr>
                <w:szCs w:val="20"/>
                <w:lang w:eastAsia="en-GB"/>
              </w:rPr>
              <w:t>5%-tile throughput loss (10GHz)</w:t>
            </w:r>
          </w:p>
        </w:tc>
        <w:tc>
          <w:tcPr>
            <w:tcW w:w="804" w:type="dxa"/>
            <w:vAlign w:val="bottom"/>
          </w:tcPr>
          <w:p>
            <w:pPr>
              <w:pStyle w:val="15"/>
              <w:snapToGrid w:val="0"/>
              <w:jc w:val="center"/>
              <w:rPr>
                <w:szCs w:val="20"/>
                <w:lang w:eastAsia="en-GB"/>
              </w:rPr>
            </w:pPr>
            <w:r>
              <w:rPr>
                <w:rFonts w:hint="eastAsia"/>
                <w:szCs w:val="20"/>
                <w:lang w:val="en-US" w:eastAsia="zh-CN"/>
              </w:rPr>
              <w:t xml:space="preserve">2.33 </w:t>
            </w:r>
          </w:p>
        </w:tc>
        <w:tc>
          <w:tcPr>
            <w:tcW w:w="804" w:type="dxa"/>
            <w:vAlign w:val="bottom"/>
          </w:tcPr>
          <w:p>
            <w:pPr>
              <w:pStyle w:val="15"/>
              <w:snapToGrid w:val="0"/>
              <w:jc w:val="center"/>
              <w:rPr>
                <w:szCs w:val="20"/>
                <w:lang w:eastAsia="en-GB"/>
              </w:rPr>
            </w:pPr>
            <w:r>
              <w:rPr>
                <w:rFonts w:hint="eastAsia"/>
                <w:szCs w:val="20"/>
                <w:lang w:val="en-US" w:eastAsia="zh-CN"/>
              </w:rPr>
              <w:t xml:space="preserve">2.73 </w:t>
            </w:r>
          </w:p>
        </w:tc>
        <w:tc>
          <w:tcPr>
            <w:tcW w:w="804" w:type="dxa"/>
            <w:vAlign w:val="bottom"/>
          </w:tcPr>
          <w:p>
            <w:pPr>
              <w:pStyle w:val="15"/>
              <w:snapToGrid w:val="0"/>
              <w:jc w:val="center"/>
              <w:rPr>
                <w:szCs w:val="20"/>
                <w:lang w:eastAsia="en-GB"/>
              </w:rPr>
            </w:pPr>
            <w:r>
              <w:rPr>
                <w:rFonts w:hint="eastAsia"/>
                <w:szCs w:val="20"/>
                <w:lang w:val="en-US" w:eastAsia="zh-CN"/>
              </w:rPr>
              <w:t xml:space="preserve">3.21 </w:t>
            </w:r>
          </w:p>
        </w:tc>
        <w:tc>
          <w:tcPr>
            <w:tcW w:w="804" w:type="dxa"/>
            <w:vAlign w:val="bottom"/>
          </w:tcPr>
          <w:p>
            <w:pPr>
              <w:pStyle w:val="15"/>
              <w:snapToGrid w:val="0"/>
              <w:jc w:val="center"/>
              <w:rPr>
                <w:szCs w:val="20"/>
                <w:lang w:eastAsia="en-GB"/>
              </w:rPr>
            </w:pPr>
            <w:r>
              <w:rPr>
                <w:rFonts w:hint="eastAsia"/>
                <w:szCs w:val="20"/>
                <w:lang w:val="en-US" w:eastAsia="zh-CN"/>
              </w:rPr>
              <w:t xml:space="preserve">4.21 </w:t>
            </w:r>
          </w:p>
        </w:tc>
        <w:tc>
          <w:tcPr>
            <w:tcW w:w="804" w:type="dxa"/>
            <w:vAlign w:val="bottom"/>
          </w:tcPr>
          <w:p>
            <w:pPr>
              <w:pStyle w:val="15"/>
              <w:snapToGrid w:val="0"/>
              <w:jc w:val="center"/>
              <w:rPr>
                <w:szCs w:val="20"/>
                <w:lang w:eastAsia="en-GB"/>
              </w:rPr>
            </w:pPr>
            <w:r>
              <w:rPr>
                <w:rFonts w:hint="eastAsia"/>
                <w:szCs w:val="20"/>
                <w:highlight w:val="yellow"/>
                <w:lang w:val="en-US" w:eastAsia="zh-CN"/>
              </w:rPr>
              <w:t xml:space="preserve">5.01 </w:t>
            </w:r>
          </w:p>
        </w:tc>
        <w:tc>
          <w:tcPr>
            <w:tcW w:w="804" w:type="dxa"/>
            <w:vAlign w:val="bottom"/>
          </w:tcPr>
          <w:p>
            <w:pPr>
              <w:pStyle w:val="15"/>
              <w:snapToGrid w:val="0"/>
              <w:jc w:val="center"/>
              <w:rPr>
                <w:szCs w:val="20"/>
                <w:lang w:eastAsia="en-GB"/>
              </w:rPr>
            </w:pPr>
            <w:r>
              <w:rPr>
                <w:rFonts w:hint="eastAsia"/>
                <w:szCs w:val="20"/>
                <w:lang w:val="en-US" w:eastAsia="zh-CN"/>
              </w:rPr>
              <w:t xml:space="preserve">6.18 </w:t>
            </w:r>
          </w:p>
        </w:tc>
      </w:tr>
    </w:tbl>
    <w:p>
      <w:pPr>
        <w:pStyle w:val="35"/>
        <w:ind w:left="0" w:leftChars="0" w:firstLine="0" w:firstLineChars="0"/>
        <w:jc w:val="both"/>
        <w:rPr>
          <w:rFonts w:hint="eastAsia"/>
          <w:lang w:val="en-US" w:eastAsia="zh-CN"/>
        </w:rPr>
      </w:pPr>
    </w:p>
    <w:p>
      <w:pPr>
        <w:pStyle w:val="35"/>
        <w:ind w:left="0" w:leftChars="0" w:firstLine="0" w:firstLineChars="0"/>
        <w:jc w:val="center"/>
      </w:pPr>
      <w:r>
        <w:drawing>
          <wp:inline distT="0" distB="0" distL="114300" distR="114300">
            <wp:extent cx="5343525" cy="4010025"/>
            <wp:effectExtent l="0" t="0" r="0" b="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4"/>
                    <pic:cNvPicPr>
                      <a:picLocks noChangeAspect="1"/>
                    </pic:cNvPicPr>
                  </pic:nvPicPr>
                  <pic:blipFill>
                    <a:blip r:embed="rId6"/>
                    <a:stretch>
                      <a:fillRect/>
                    </a:stretch>
                  </pic:blipFill>
                  <pic:spPr>
                    <a:xfrm>
                      <a:off x="0" y="0"/>
                      <a:ext cx="5343525" cy="4010025"/>
                    </a:xfrm>
                    <a:prstGeom prst="rect">
                      <a:avLst/>
                    </a:prstGeom>
                    <a:noFill/>
                    <a:ln>
                      <a:noFill/>
                    </a:ln>
                  </pic:spPr>
                </pic:pic>
              </a:graphicData>
            </a:graphic>
          </wp:inline>
        </w:drawing>
      </w:r>
    </w:p>
    <w:p>
      <w:pPr>
        <w:pStyle w:val="35"/>
        <w:ind w:left="0" w:leftChars="0" w:firstLine="0" w:firstLineChars="0"/>
        <w:jc w:val="center"/>
      </w:pPr>
      <w:r>
        <w:drawing>
          <wp:inline distT="0" distB="0" distL="114300" distR="114300">
            <wp:extent cx="5343525" cy="4010025"/>
            <wp:effectExtent l="0" t="0" r="0" b="0"/>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7"/>
                    <a:stretch>
                      <a:fillRect/>
                    </a:stretch>
                  </pic:blipFill>
                  <pic:spPr>
                    <a:xfrm>
                      <a:off x="0" y="0"/>
                      <a:ext cx="5343525" cy="4010025"/>
                    </a:xfrm>
                    <a:prstGeom prst="rect">
                      <a:avLst/>
                    </a:prstGeom>
                    <a:noFill/>
                    <a:ln>
                      <a:noFill/>
                    </a:ln>
                  </pic:spPr>
                </pic:pic>
              </a:graphicData>
            </a:graphic>
          </wp:inline>
        </w:drawing>
      </w:r>
    </w:p>
    <w:p>
      <w:pPr>
        <w:pStyle w:val="35"/>
        <w:ind w:left="0" w:leftChars="0" w:firstLine="0" w:firstLineChars="0"/>
        <w:jc w:val="center"/>
      </w:pPr>
    </w:p>
    <w:p>
      <w:pPr>
        <w:pStyle w:val="35"/>
        <w:ind w:left="0" w:leftChars="0" w:firstLine="0" w:firstLineChars="0"/>
        <w:jc w:val="center"/>
      </w:pPr>
      <w:r>
        <w:drawing>
          <wp:inline distT="0" distB="0" distL="114300" distR="114300">
            <wp:extent cx="5343525" cy="4010025"/>
            <wp:effectExtent l="0" t="0" r="0" b="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8"/>
                    <a:stretch>
                      <a:fillRect/>
                    </a:stretch>
                  </pic:blipFill>
                  <pic:spPr>
                    <a:xfrm>
                      <a:off x="0" y="0"/>
                      <a:ext cx="5343525" cy="4010025"/>
                    </a:xfrm>
                    <a:prstGeom prst="rect">
                      <a:avLst/>
                    </a:prstGeom>
                    <a:noFill/>
                    <a:ln>
                      <a:noFill/>
                    </a:ln>
                  </pic:spPr>
                </pic:pic>
              </a:graphicData>
            </a:graphic>
          </wp:inline>
        </w:drawing>
      </w:r>
    </w:p>
    <w:p>
      <w:pPr>
        <w:pStyle w:val="35"/>
        <w:ind w:left="0" w:leftChars="0" w:firstLine="0" w:firstLineChars="0"/>
        <w:jc w:val="center"/>
      </w:pPr>
    </w:p>
    <w:p>
      <w:pPr>
        <w:pStyle w:val="35"/>
        <w:ind w:left="0" w:leftChars="0" w:firstLine="0" w:firstLineChars="0"/>
        <w:jc w:val="center"/>
      </w:pPr>
      <w:r>
        <w:drawing>
          <wp:inline distT="0" distB="0" distL="114300" distR="114300">
            <wp:extent cx="5343525" cy="4010025"/>
            <wp:effectExtent l="0" t="0" r="0" b="0"/>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
                    <pic:cNvPicPr>
                      <a:picLocks noChangeAspect="1"/>
                    </pic:cNvPicPr>
                  </pic:nvPicPr>
                  <pic:blipFill>
                    <a:blip r:embed="rId9"/>
                    <a:stretch>
                      <a:fillRect/>
                    </a:stretch>
                  </pic:blipFill>
                  <pic:spPr>
                    <a:xfrm>
                      <a:off x="0" y="0"/>
                      <a:ext cx="5343525" cy="4010025"/>
                    </a:xfrm>
                    <a:prstGeom prst="rect">
                      <a:avLst/>
                    </a:prstGeom>
                    <a:noFill/>
                    <a:ln>
                      <a:noFill/>
                    </a:ln>
                  </pic:spPr>
                </pic:pic>
              </a:graphicData>
            </a:graphic>
          </wp:inline>
        </w:drawing>
      </w:r>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eastAsia"/>
          <w:b/>
          <w:bCs/>
          <w:szCs w:val="20"/>
          <w:lang w:val="en-US" w:eastAsia="zh-CN"/>
        </w:rPr>
      </w:pPr>
      <w:r>
        <w:rPr>
          <w:rFonts w:hint="eastAsia" w:eastAsia="Times New Roman"/>
          <w:b/>
          <w:bCs/>
          <w:kern w:val="0"/>
          <w:sz w:val="20"/>
          <w:szCs w:val="20"/>
          <w:highlight w:val="none"/>
          <w:lang w:val="en-US" w:eastAsia="zh-CN" w:bidi="ar-SA"/>
        </w:rPr>
        <w:t xml:space="preserve">Observation 1: for 7GHz, </w:t>
      </w:r>
      <w:r>
        <w:rPr>
          <w:b/>
          <w:bCs/>
          <w:szCs w:val="20"/>
          <w:lang w:val="en-GB" w:eastAsia="en-GB"/>
        </w:rPr>
        <w:t xml:space="preserve">the </w:t>
      </w:r>
      <w:r>
        <w:rPr>
          <w:rFonts w:hint="eastAsia"/>
          <w:b/>
          <w:bCs/>
          <w:szCs w:val="20"/>
          <w:lang w:val="en-US" w:eastAsia="zh-CN"/>
        </w:rPr>
        <w:t>uplink</w:t>
      </w:r>
      <w:r>
        <w:rPr>
          <w:rFonts w:eastAsia="宋体"/>
          <w:b/>
          <w:bCs/>
          <w:szCs w:val="20"/>
          <w:lang w:eastAsia="zh-CN"/>
        </w:rPr>
        <w:t xml:space="preserve"> throughput loss of the victim </w:t>
      </w:r>
      <w:r>
        <w:rPr>
          <w:rFonts w:hint="eastAsia" w:eastAsia="宋体"/>
          <w:b/>
          <w:bCs/>
          <w:szCs w:val="20"/>
          <w:lang w:val="en-US" w:eastAsia="zh-CN"/>
        </w:rPr>
        <w:t xml:space="preserve">BS </w:t>
      </w:r>
      <w:r>
        <w:rPr>
          <w:b/>
          <w:bCs/>
          <w:szCs w:val="20"/>
          <w:lang w:val="en-GB" w:eastAsia="en-GB"/>
        </w:rPr>
        <w:t xml:space="preserve">in the </w:t>
      </w:r>
      <w:r>
        <w:rPr>
          <w:rFonts w:eastAsia="宋体"/>
          <w:b/>
          <w:bCs/>
          <w:szCs w:val="20"/>
          <w:lang w:eastAsia="zh-CN"/>
        </w:rPr>
        <w:t xml:space="preserve">urban macro scenario can still be limited to 5% with </w:t>
      </w:r>
      <w:r>
        <w:rPr>
          <w:rFonts w:hint="eastAsia" w:eastAsia="宋体"/>
          <w:b/>
          <w:bCs/>
          <w:szCs w:val="20"/>
          <w:lang w:val="en-US" w:eastAsia="zh-CN"/>
        </w:rPr>
        <w:t>uplink</w:t>
      </w:r>
      <w:r>
        <w:rPr>
          <w:b/>
          <w:bCs/>
          <w:szCs w:val="20"/>
          <w:lang w:val="en-GB" w:eastAsia="en-GB"/>
        </w:rPr>
        <w:t xml:space="preserve"> ACIR offsets of</w:t>
      </w:r>
      <w:r>
        <w:rPr>
          <w:rFonts w:hint="eastAsia"/>
          <w:b/>
          <w:bCs/>
          <w:szCs w:val="20"/>
          <w:lang w:val="en-US" w:eastAsia="zh-CN"/>
        </w:rPr>
        <w:t xml:space="preserve"> -5dB</w:t>
      </w:r>
      <w:r>
        <w:rPr>
          <w:b/>
          <w:bCs/>
          <w:szCs w:val="20"/>
          <w:lang w:val="en-GB" w:eastAsia="en-GB"/>
        </w:rPr>
        <w:t>,</w:t>
      </w:r>
      <w:r>
        <w:rPr>
          <w:rFonts w:hint="eastAsia"/>
          <w:b/>
          <w:bCs/>
          <w:szCs w:val="20"/>
          <w:lang w:val="en-US" w:eastAsia="zh-CN"/>
        </w:rPr>
        <w:t>;</w:t>
      </w:r>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eastAsia"/>
          <w:b/>
          <w:bCs/>
          <w:szCs w:val="20"/>
          <w:lang w:val="en-US" w:eastAsia="zh-CN"/>
        </w:rPr>
      </w:pPr>
      <w:r>
        <w:rPr>
          <w:rFonts w:hint="eastAsia" w:eastAsia="Times New Roman"/>
          <w:b/>
          <w:bCs/>
          <w:kern w:val="0"/>
          <w:sz w:val="20"/>
          <w:szCs w:val="20"/>
          <w:highlight w:val="none"/>
          <w:lang w:val="en-US" w:eastAsia="zh-CN" w:bidi="ar-SA"/>
        </w:rPr>
        <w:t xml:space="preserve">Observation 2: for 10GHz, </w:t>
      </w:r>
      <w:r>
        <w:rPr>
          <w:b/>
          <w:bCs/>
          <w:szCs w:val="20"/>
          <w:lang w:val="en-GB" w:eastAsia="en-GB"/>
        </w:rPr>
        <w:t xml:space="preserve">the </w:t>
      </w:r>
      <w:r>
        <w:rPr>
          <w:rFonts w:hint="eastAsia"/>
          <w:b/>
          <w:bCs/>
          <w:szCs w:val="20"/>
          <w:lang w:val="en-US" w:eastAsia="zh-CN"/>
        </w:rPr>
        <w:t>uplink</w:t>
      </w:r>
      <w:r>
        <w:rPr>
          <w:rFonts w:eastAsia="宋体"/>
          <w:b/>
          <w:bCs/>
          <w:szCs w:val="20"/>
          <w:lang w:eastAsia="zh-CN"/>
        </w:rPr>
        <w:t xml:space="preserve"> throughput loss of the victim </w:t>
      </w:r>
      <w:r>
        <w:rPr>
          <w:rFonts w:hint="eastAsia" w:eastAsia="宋体"/>
          <w:b/>
          <w:bCs/>
          <w:szCs w:val="20"/>
          <w:lang w:val="en-US" w:eastAsia="zh-CN"/>
        </w:rPr>
        <w:t xml:space="preserve">BS </w:t>
      </w:r>
      <w:r>
        <w:rPr>
          <w:b/>
          <w:bCs/>
          <w:szCs w:val="20"/>
          <w:lang w:val="en-GB" w:eastAsia="en-GB"/>
        </w:rPr>
        <w:t xml:space="preserve">in the </w:t>
      </w:r>
      <w:r>
        <w:rPr>
          <w:rFonts w:eastAsia="宋体"/>
          <w:b/>
          <w:bCs/>
          <w:szCs w:val="20"/>
          <w:lang w:eastAsia="zh-CN"/>
        </w:rPr>
        <w:t xml:space="preserve">urban macro scenario can still be limited to 5% with </w:t>
      </w:r>
      <w:r>
        <w:rPr>
          <w:rFonts w:hint="eastAsia" w:eastAsia="宋体"/>
          <w:b/>
          <w:bCs/>
          <w:szCs w:val="20"/>
          <w:lang w:val="en-US" w:eastAsia="zh-CN"/>
        </w:rPr>
        <w:t>uplink</w:t>
      </w:r>
      <w:r>
        <w:rPr>
          <w:b/>
          <w:bCs/>
          <w:szCs w:val="20"/>
          <w:lang w:val="en-GB" w:eastAsia="en-GB"/>
        </w:rPr>
        <w:t xml:space="preserve"> ACIR offsets of -</w:t>
      </w:r>
      <w:r>
        <w:rPr>
          <w:rFonts w:hint="eastAsia"/>
          <w:b/>
          <w:bCs/>
          <w:szCs w:val="20"/>
          <w:lang w:val="en-US" w:eastAsia="zh-CN"/>
        </w:rPr>
        <w:t>4 to -5dB;</w:t>
      </w:r>
    </w:p>
    <w:bookmarkEnd w:id="2"/>
    <w:bookmarkEnd w:id="3"/>
    <w:p>
      <w:pPr>
        <w:pStyle w:val="37"/>
        <w:tabs>
          <w:tab w:val="left" w:pos="567"/>
          <w:tab w:val="clear" w:pos="1985"/>
        </w:tabs>
        <w:adjustRightInd w:val="0"/>
        <w:ind w:left="510" w:hanging="510"/>
        <w:rPr>
          <w:rFonts w:hint="eastAsia"/>
        </w:rPr>
      </w:pPr>
      <w:r>
        <w:t>Conclusions</w:t>
      </w:r>
    </w:p>
    <w:p>
      <w:pPr>
        <w:pStyle w:val="32"/>
        <w:rPr>
          <w:rFonts w:hint="eastAsia" w:ascii="Times New Roman" w:hAnsi="Times New Roman"/>
          <w:lang w:val="en-US" w:eastAsia="zh-CN"/>
        </w:rPr>
      </w:pPr>
      <w:r>
        <w:rPr>
          <w:rFonts w:ascii="Times New Roman" w:hAnsi="Times New Roman"/>
        </w:rPr>
        <w:t>In this contribution, we share</w:t>
      </w:r>
      <w:r>
        <w:rPr>
          <w:rFonts w:hint="eastAsia" w:ascii="Times New Roman" w:hAnsi="Times New Roman"/>
        </w:rPr>
        <w:t>d initial</w:t>
      </w:r>
      <w:r>
        <w:rPr>
          <w:rFonts w:hint="eastAsia" w:ascii="Times New Roman" w:hAnsi="Times New Roman"/>
          <w:lang w:val="en-US" w:eastAsia="zh-CN"/>
        </w:rPr>
        <w:t xml:space="preserve"> simulation results</w:t>
      </w:r>
      <w:r>
        <w:rPr>
          <w:rFonts w:hint="eastAsia" w:ascii="Times New Roman" w:hAnsi="Times New Roman"/>
        </w:rPr>
        <w:t xml:space="preserve"> for 6.425-7.125GHz and 10.0-10.5GHz</w:t>
      </w:r>
      <w:r>
        <w:rPr>
          <w:rFonts w:hint="eastAsia" w:ascii="Times New Roman" w:hAnsi="Times New Roman"/>
          <w:lang w:val="en-US" w:eastAsia="zh-CN"/>
        </w:rPr>
        <w:t xml:space="preserve"> for further discussion.</w:t>
      </w:r>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eastAsia"/>
          <w:b/>
          <w:bCs/>
          <w:szCs w:val="20"/>
          <w:lang w:val="en-US" w:eastAsia="zh-CN"/>
        </w:rPr>
      </w:pPr>
      <w:r>
        <w:rPr>
          <w:rFonts w:hint="eastAsia" w:eastAsia="Times New Roman"/>
          <w:b/>
          <w:bCs/>
          <w:kern w:val="0"/>
          <w:sz w:val="20"/>
          <w:szCs w:val="20"/>
          <w:highlight w:val="none"/>
          <w:lang w:val="en-US" w:eastAsia="zh-CN" w:bidi="ar-SA"/>
        </w:rPr>
        <w:t xml:space="preserve">Observation 1: for 7GHz, </w:t>
      </w:r>
      <w:r>
        <w:rPr>
          <w:b/>
          <w:bCs/>
          <w:szCs w:val="20"/>
          <w:lang w:val="en-GB" w:eastAsia="en-GB"/>
        </w:rPr>
        <w:t xml:space="preserve">the </w:t>
      </w:r>
      <w:r>
        <w:rPr>
          <w:rFonts w:hint="eastAsia"/>
          <w:b/>
          <w:bCs/>
          <w:szCs w:val="20"/>
          <w:lang w:val="en-US" w:eastAsia="zh-CN"/>
        </w:rPr>
        <w:t>uplink</w:t>
      </w:r>
      <w:r>
        <w:rPr>
          <w:rFonts w:eastAsia="宋体"/>
          <w:b/>
          <w:bCs/>
          <w:szCs w:val="20"/>
          <w:lang w:eastAsia="zh-CN"/>
        </w:rPr>
        <w:t xml:space="preserve"> throughput loss of the victim </w:t>
      </w:r>
      <w:r>
        <w:rPr>
          <w:rFonts w:hint="eastAsia" w:eastAsia="宋体"/>
          <w:b/>
          <w:bCs/>
          <w:szCs w:val="20"/>
          <w:lang w:val="en-US" w:eastAsia="zh-CN"/>
        </w:rPr>
        <w:t xml:space="preserve">BS </w:t>
      </w:r>
      <w:r>
        <w:rPr>
          <w:b/>
          <w:bCs/>
          <w:szCs w:val="20"/>
          <w:lang w:val="en-GB" w:eastAsia="en-GB"/>
        </w:rPr>
        <w:t xml:space="preserve">in the </w:t>
      </w:r>
      <w:r>
        <w:rPr>
          <w:rFonts w:eastAsia="宋体"/>
          <w:b/>
          <w:bCs/>
          <w:szCs w:val="20"/>
          <w:lang w:eastAsia="zh-CN"/>
        </w:rPr>
        <w:t xml:space="preserve">urban macro scenario can still be limited to 5% with </w:t>
      </w:r>
      <w:r>
        <w:rPr>
          <w:rFonts w:hint="eastAsia" w:eastAsia="宋体"/>
          <w:b/>
          <w:bCs/>
          <w:szCs w:val="20"/>
          <w:lang w:val="en-US" w:eastAsia="zh-CN"/>
        </w:rPr>
        <w:t>uplink</w:t>
      </w:r>
      <w:r>
        <w:rPr>
          <w:b/>
          <w:bCs/>
          <w:szCs w:val="20"/>
          <w:lang w:val="en-GB" w:eastAsia="en-GB"/>
        </w:rPr>
        <w:t xml:space="preserve"> ACIR offsets of</w:t>
      </w:r>
      <w:r>
        <w:rPr>
          <w:rFonts w:hint="eastAsia"/>
          <w:b/>
          <w:bCs/>
          <w:szCs w:val="20"/>
          <w:lang w:val="en-US" w:eastAsia="zh-CN"/>
        </w:rPr>
        <w:t xml:space="preserve"> -5dB</w:t>
      </w:r>
      <w:r>
        <w:rPr>
          <w:b/>
          <w:bCs/>
          <w:szCs w:val="20"/>
          <w:lang w:val="en-GB" w:eastAsia="en-GB"/>
        </w:rPr>
        <w:t>,</w:t>
      </w:r>
      <w:r>
        <w:rPr>
          <w:rFonts w:hint="eastAsia"/>
          <w:b/>
          <w:bCs/>
          <w:szCs w:val="20"/>
          <w:lang w:val="en-US" w:eastAsia="zh-CN"/>
        </w:rPr>
        <w:t>;</w:t>
      </w:r>
    </w:p>
    <w:p>
      <w:pPr>
        <w:pStyle w:val="32"/>
        <w:keepNext w:val="0"/>
        <w:keepLines w:val="0"/>
        <w:pageBreakBefore w:val="0"/>
        <w:widowControl w:val="0"/>
        <w:kinsoku/>
        <w:wordWrap/>
        <w:overflowPunct/>
        <w:topLinePunct w:val="0"/>
        <w:autoSpaceDE/>
        <w:autoSpaceDN/>
        <w:bidi w:val="0"/>
        <w:adjustRightInd/>
        <w:snapToGrid/>
        <w:textAlignment w:val="auto"/>
        <w:outlineLvl w:val="9"/>
        <w:rPr>
          <w:rFonts w:hint="eastAsia"/>
          <w:b/>
          <w:bCs/>
          <w:szCs w:val="20"/>
          <w:lang w:val="en-US" w:eastAsia="zh-CN"/>
        </w:rPr>
      </w:pPr>
      <w:r>
        <w:rPr>
          <w:rFonts w:hint="eastAsia" w:eastAsia="Times New Roman"/>
          <w:b/>
          <w:bCs/>
          <w:kern w:val="0"/>
          <w:sz w:val="20"/>
          <w:szCs w:val="20"/>
          <w:highlight w:val="none"/>
          <w:lang w:val="en-US" w:eastAsia="zh-CN" w:bidi="ar-SA"/>
        </w:rPr>
        <w:t xml:space="preserve">Observation 2: for 10GHz, </w:t>
      </w:r>
      <w:r>
        <w:rPr>
          <w:b/>
          <w:bCs/>
          <w:szCs w:val="20"/>
          <w:lang w:val="en-GB" w:eastAsia="en-GB"/>
        </w:rPr>
        <w:t xml:space="preserve">the </w:t>
      </w:r>
      <w:r>
        <w:rPr>
          <w:rFonts w:hint="eastAsia"/>
          <w:b/>
          <w:bCs/>
          <w:szCs w:val="20"/>
          <w:lang w:val="en-US" w:eastAsia="zh-CN"/>
        </w:rPr>
        <w:t>uplink</w:t>
      </w:r>
      <w:r>
        <w:rPr>
          <w:rFonts w:eastAsia="宋体"/>
          <w:b/>
          <w:bCs/>
          <w:szCs w:val="20"/>
          <w:lang w:eastAsia="zh-CN"/>
        </w:rPr>
        <w:t xml:space="preserve"> throughput loss of the victim </w:t>
      </w:r>
      <w:r>
        <w:rPr>
          <w:rFonts w:hint="eastAsia" w:eastAsia="宋体"/>
          <w:b/>
          <w:bCs/>
          <w:szCs w:val="20"/>
          <w:lang w:val="en-US" w:eastAsia="zh-CN"/>
        </w:rPr>
        <w:t xml:space="preserve">BS </w:t>
      </w:r>
      <w:r>
        <w:rPr>
          <w:b/>
          <w:bCs/>
          <w:szCs w:val="20"/>
          <w:lang w:val="en-GB" w:eastAsia="en-GB"/>
        </w:rPr>
        <w:t xml:space="preserve">in the </w:t>
      </w:r>
      <w:r>
        <w:rPr>
          <w:rFonts w:eastAsia="宋体"/>
          <w:b/>
          <w:bCs/>
          <w:szCs w:val="20"/>
          <w:lang w:eastAsia="zh-CN"/>
        </w:rPr>
        <w:t xml:space="preserve">urban macro scenario can still be limited to 5% with </w:t>
      </w:r>
      <w:r>
        <w:rPr>
          <w:rFonts w:hint="eastAsia" w:eastAsia="宋体"/>
          <w:b/>
          <w:bCs/>
          <w:szCs w:val="20"/>
          <w:lang w:val="en-US" w:eastAsia="zh-CN"/>
        </w:rPr>
        <w:t>uplink</w:t>
      </w:r>
      <w:r>
        <w:rPr>
          <w:b/>
          <w:bCs/>
          <w:szCs w:val="20"/>
          <w:lang w:val="en-GB" w:eastAsia="en-GB"/>
        </w:rPr>
        <w:t xml:space="preserve"> ACIR offsets of -</w:t>
      </w:r>
      <w:r>
        <w:rPr>
          <w:rFonts w:hint="eastAsia"/>
          <w:b/>
          <w:bCs/>
          <w:szCs w:val="20"/>
          <w:lang w:val="en-US" w:eastAsia="zh-CN"/>
        </w:rPr>
        <w:t>4 to -5dB;</w:t>
      </w:r>
    </w:p>
    <w:p>
      <w:pPr>
        <w:pStyle w:val="37"/>
        <w:tabs>
          <w:tab w:val="left" w:pos="567"/>
          <w:tab w:val="clear" w:pos="1985"/>
        </w:tabs>
        <w:adjustRightInd w:val="0"/>
        <w:ind w:left="510" w:hanging="510"/>
        <w:rPr>
          <w:rFonts w:hint="eastAsia"/>
        </w:rPr>
      </w:pPr>
      <w:r>
        <w:t>References</w:t>
      </w:r>
    </w:p>
    <w:p>
      <w:pPr>
        <w:pStyle w:val="20"/>
        <w:numPr>
          <w:ilvl w:val="0"/>
          <w:numId w:val="2"/>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r>
        <w:rPr>
          <w:rStyle w:val="23"/>
          <w:rFonts w:hint="eastAsia" w:ascii="Times New Roman" w:hAnsi="Times New Roman" w:cs="Times New Roman"/>
          <w:i w:val="0"/>
          <w:color w:val="auto"/>
          <w:sz w:val="21"/>
          <w:szCs w:val="21"/>
          <w:shd w:val="clear" w:color="auto" w:fill="FFFFFF"/>
          <w:lang w:val="en-US" w:eastAsia="zh-CN"/>
        </w:rPr>
        <w:t>R4-2008927, WF on Simulation Assumptions for the SI on 6.425-7.125GHz and 10.0-10.5GHz, approved.</w:t>
      </w:r>
    </w:p>
    <w:p>
      <w:pPr>
        <w:pStyle w:val="20"/>
        <w:numPr>
          <w:ilvl w:val="0"/>
          <w:numId w:val="2"/>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r>
        <w:rPr>
          <w:rStyle w:val="23"/>
          <w:rFonts w:hint="eastAsia" w:ascii="Times New Roman" w:hAnsi="Times New Roman" w:cs="Times New Roman"/>
          <w:i w:val="0"/>
          <w:color w:val="auto"/>
          <w:sz w:val="21"/>
          <w:szCs w:val="21"/>
          <w:shd w:val="clear" w:color="auto" w:fill="FFFFFF"/>
          <w:lang w:val="en-US" w:eastAsia="zh-CN"/>
        </w:rPr>
        <w:t>R4-xxx•WF R4-2008925 in BS parameters</w:t>
      </w:r>
    </w:p>
    <w:p>
      <w:pPr>
        <w:pStyle w:val="20"/>
        <w:numPr>
          <w:ilvl w:val="0"/>
          <w:numId w:val="2"/>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r>
        <w:rPr>
          <w:rStyle w:val="23"/>
          <w:rFonts w:hint="eastAsia" w:ascii="Times New Roman" w:hAnsi="Times New Roman" w:cs="Times New Roman"/>
          <w:i w:val="0"/>
          <w:color w:val="auto"/>
          <w:sz w:val="21"/>
          <w:szCs w:val="21"/>
          <w:shd w:val="clear" w:color="auto" w:fill="FFFFFF"/>
          <w:lang w:val="en-US" w:eastAsia="zh-CN"/>
        </w:rPr>
        <w:t>WF R4-2008926 in BS antenna parameters</w:t>
      </w:r>
    </w:p>
    <w:p>
      <w:pPr>
        <w:pStyle w:val="20"/>
        <w:numPr>
          <w:ilvl w:val="0"/>
          <w:numId w:val="2"/>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r>
        <w:rPr>
          <w:rStyle w:val="23"/>
          <w:rFonts w:hint="eastAsia" w:ascii="Times New Roman" w:hAnsi="Times New Roman" w:cs="Times New Roman"/>
          <w:i w:val="0"/>
          <w:color w:val="auto"/>
          <w:sz w:val="21"/>
          <w:szCs w:val="21"/>
          <w:shd w:val="clear" w:color="auto" w:fill="FFFFFF"/>
          <w:lang w:val="en-US" w:eastAsia="zh-CN"/>
        </w:rPr>
        <w:t>TR 36.942</w:t>
      </w:r>
    </w:p>
    <w:p>
      <w:pPr>
        <w:pStyle w:val="20"/>
        <w:numPr>
          <w:ilvl w:val="0"/>
          <w:numId w:val="2"/>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r>
        <w:rPr>
          <w:rStyle w:val="23"/>
          <w:rFonts w:hint="eastAsia" w:ascii="Times New Roman" w:hAnsi="Times New Roman" w:cs="Times New Roman"/>
          <w:i w:val="0"/>
          <w:color w:val="auto"/>
          <w:sz w:val="21"/>
          <w:szCs w:val="21"/>
          <w:shd w:val="clear" w:color="auto" w:fill="FFFFFF"/>
          <w:lang w:val="en-US" w:eastAsia="zh-CN"/>
        </w:rPr>
        <w:t>R4-2006108,Urban Macro Downlink Coexistence Simulation Results for Frequency Ranges 6.425-7.125GHz and 10.0-10.5GHz, Noted</w:t>
      </w:r>
    </w:p>
    <w:p>
      <w:pPr>
        <w:pStyle w:val="20"/>
        <w:numPr>
          <w:ilvl w:val="0"/>
          <w:numId w:val="0"/>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p>
    <w:p>
      <w:pPr>
        <w:pStyle w:val="20"/>
        <w:numPr>
          <w:ilvl w:val="0"/>
          <w:numId w:val="0"/>
        </w:numPr>
        <w:shd w:val="clear" w:color="auto" w:fill="FFFFFF"/>
        <w:spacing w:before="60" w:beforeAutospacing="0" w:after="0" w:afterAutospacing="0" w:line="300" w:lineRule="atLeast"/>
        <w:rPr>
          <w:rStyle w:val="23"/>
          <w:rFonts w:hint="eastAsia" w:ascii="Times New Roman" w:hAnsi="Times New Roman" w:cs="Times New Roman"/>
          <w:i w:val="0"/>
          <w:color w:val="auto"/>
          <w:sz w:val="21"/>
          <w:szCs w:val="21"/>
          <w:shd w:val="clear" w:color="auto" w:fill="FFFFFF"/>
          <w:lang w:val="en-US" w:eastAsia="zh-CN"/>
        </w:rPr>
      </w:pPr>
    </w:p>
    <w:p>
      <w:pPr>
        <w:pStyle w:val="20"/>
        <w:numPr>
          <w:ilvl w:val="0"/>
          <w:numId w:val="0"/>
        </w:numPr>
        <w:shd w:val="clear" w:color="auto" w:fill="FFFFFF"/>
        <w:spacing w:before="60" w:beforeAutospacing="0" w:after="0" w:afterAutospacing="0" w:line="300" w:lineRule="atLeast"/>
        <w:rPr>
          <w:rStyle w:val="23"/>
          <w:rFonts w:hint="eastAsia" w:ascii="Times New Roman" w:hAnsi="Times New Roman" w:cs="Times New Roman"/>
          <w:color w:val="auto"/>
          <w:sz w:val="21"/>
          <w:szCs w:val="21"/>
          <w:shd w:val="clear" w:color="auto" w:fill="FFFFFF"/>
          <w:lang w:val="en-US" w:eastAsia="zh-CN"/>
        </w:rPr>
      </w:pPr>
    </w:p>
    <w:p>
      <w:pPr>
        <w:pStyle w:val="20"/>
        <w:widowControl/>
        <w:numPr>
          <w:ilvl w:val="0"/>
          <w:numId w:val="0"/>
        </w:numPr>
        <w:shd w:val="clear" w:color="auto" w:fill="FFFFFF"/>
        <w:spacing w:before="60" w:beforeAutospacing="0" w:after="0" w:afterAutospacing="0" w:line="300" w:lineRule="atLeast"/>
        <w:jc w:val="left"/>
        <w:rPr>
          <w:rStyle w:val="23"/>
          <w:rFonts w:hint="eastAsia" w:ascii="Times New Roman" w:hAnsi="Times New Roman" w:cs="Times New Roman"/>
          <w:color w:val="auto"/>
          <w:sz w:val="21"/>
          <w:szCs w:val="21"/>
          <w:shd w:val="clear" w:color="auto" w:fill="FFFFFF"/>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default"/>
    <w:sig w:usb0="E0002AFF" w:usb1="C0007841" w:usb2="00000009" w:usb3="00000000" w:csb0="000001FF" w:csb1="00000000"/>
  </w:font>
  <w:font w:name="Calibri">
    <w:panose1 w:val="020F0502020204030204"/>
    <w:charset w:val="00"/>
    <w:family w:val="swiss"/>
    <w:pitch w:val="default"/>
    <w:sig w:usb0="E00002FF" w:usb1="4000ACFF" w:usb2="00000001"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3B206"/>
    <w:multiLevelType w:val="singleLevel"/>
    <w:tmpl w:val="87E3B206"/>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3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40005"/>
    <w:rsid w:val="01442D89"/>
    <w:rsid w:val="01594895"/>
    <w:rsid w:val="016800B9"/>
    <w:rsid w:val="01821D8F"/>
    <w:rsid w:val="018C2266"/>
    <w:rsid w:val="0195201D"/>
    <w:rsid w:val="01A402CD"/>
    <w:rsid w:val="01A742A2"/>
    <w:rsid w:val="01BE6ACE"/>
    <w:rsid w:val="01C32135"/>
    <w:rsid w:val="01CB7A2C"/>
    <w:rsid w:val="01D518FC"/>
    <w:rsid w:val="01E1598F"/>
    <w:rsid w:val="01F33D9D"/>
    <w:rsid w:val="01F60577"/>
    <w:rsid w:val="021042F2"/>
    <w:rsid w:val="021D2604"/>
    <w:rsid w:val="02293A2A"/>
    <w:rsid w:val="022F66E0"/>
    <w:rsid w:val="0238292F"/>
    <w:rsid w:val="024C13AB"/>
    <w:rsid w:val="028748E0"/>
    <w:rsid w:val="02CE3DD2"/>
    <w:rsid w:val="02DC6BBC"/>
    <w:rsid w:val="02E368FB"/>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0512B1"/>
    <w:rsid w:val="041875C1"/>
    <w:rsid w:val="04252816"/>
    <w:rsid w:val="04376B0F"/>
    <w:rsid w:val="0444783F"/>
    <w:rsid w:val="04786ED3"/>
    <w:rsid w:val="048829D4"/>
    <w:rsid w:val="051034CD"/>
    <w:rsid w:val="053D37CD"/>
    <w:rsid w:val="053E1AC2"/>
    <w:rsid w:val="05583DC1"/>
    <w:rsid w:val="05816D10"/>
    <w:rsid w:val="05924B26"/>
    <w:rsid w:val="05930F73"/>
    <w:rsid w:val="05B27D07"/>
    <w:rsid w:val="05BE42A5"/>
    <w:rsid w:val="05D16BC6"/>
    <w:rsid w:val="05EE3B4E"/>
    <w:rsid w:val="060D249E"/>
    <w:rsid w:val="06111076"/>
    <w:rsid w:val="06474EFD"/>
    <w:rsid w:val="06493A8C"/>
    <w:rsid w:val="064A35EA"/>
    <w:rsid w:val="064B521E"/>
    <w:rsid w:val="065740AF"/>
    <w:rsid w:val="067570AB"/>
    <w:rsid w:val="06836FEC"/>
    <w:rsid w:val="068523FB"/>
    <w:rsid w:val="06A32A23"/>
    <w:rsid w:val="06A55EB9"/>
    <w:rsid w:val="06B548E2"/>
    <w:rsid w:val="06BA7F49"/>
    <w:rsid w:val="06BB4F9D"/>
    <w:rsid w:val="06D058CB"/>
    <w:rsid w:val="06F30672"/>
    <w:rsid w:val="06F35A7A"/>
    <w:rsid w:val="06F35AB6"/>
    <w:rsid w:val="06F66B05"/>
    <w:rsid w:val="072B7E46"/>
    <w:rsid w:val="072F2139"/>
    <w:rsid w:val="07436058"/>
    <w:rsid w:val="074E566F"/>
    <w:rsid w:val="074F3DF9"/>
    <w:rsid w:val="07537C92"/>
    <w:rsid w:val="075670A4"/>
    <w:rsid w:val="07660D5A"/>
    <w:rsid w:val="077F542D"/>
    <w:rsid w:val="077F5D16"/>
    <w:rsid w:val="07817B19"/>
    <w:rsid w:val="07916BE4"/>
    <w:rsid w:val="07AA3E51"/>
    <w:rsid w:val="07DD018B"/>
    <w:rsid w:val="07E014BE"/>
    <w:rsid w:val="07E85751"/>
    <w:rsid w:val="0835476E"/>
    <w:rsid w:val="084E0029"/>
    <w:rsid w:val="085D6C7E"/>
    <w:rsid w:val="08611CAF"/>
    <w:rsid w:val="086425F1"/>
    <w:rsid w:val="0865781A"/>
    <w:rsid w:val="0866133E"/>
    <w:rsid w:val="08813C88"/>
    <w:rsid w:val="089852F1"/>
    <w:rsid w:val="08990610"/>
    <w:rsid w:val="089D6B7D"/>
    <w:rsid w:val="08A64AA0"/>
    <w:rsid w:val="08B21918"/>
    <w:rsid w:val="08B94847"/>
    <w:rsid w:val="08C14001"/>
    <w:rsid w:val="092234B5"/>
    <w:rsid w:val="092C26C9"/>
    <w:rsid w:val="0953050B"/>
    <w:rsid w:val="09582472"/>
    <w:rsid w:val="096308E4"/>
    <w:rsid w:val="096B649C"/>
    <w:rsid w:val="096F1D52"/>
    <w:rsid w:val="09796C44"/>
    <w:rsid w:val="098344BC"/>
    <w:rsid w:val="099D22A1"/>
    <w:rsid w:val="09A64698"/>
    <w:rsid w:val="09AC5074"/>
    <w:rsid w:val="09AD07F3"/>
    <w:rsid w:val="09B14A34"/>
    <w:rsid w:val="09E14486"/>
    <w:rsid w:val="0A093274"/>
    <w:rsid w:val="0A22459E"/>
    <w:rsid w:val="0A2705E1"/>
    <w:rsid w:val="0A2A6A0B"/>
    <w:rsid w:val="0A312533"/>
    <w:rsid w:val="0A3A0D5D"/>
    <w:rsid w:val="0A5056C6"/>
    <w:rsid w:val="0A5060D6"/>
    <w:rsid w:val="0A7200B0"/>
    <w:rsid w:val="0A771CA5"/>
    <w:rsid w:val="0A843B9D"/>
    <w:rsid w:val="0A8621F2"/>
    <w:rsid w:val="0A8F1F9F"/>
    <w:rsid w:val="0A9B6BF5"/>
    <w:rsid w:val="0AB329A9"/>
    <w:rsid w:val="0AC80990"/>
    <w:rsid w:val="0ACD4245"/>
    <w:rsid w:val="0B110AC0"/>
    <w:rsid w:val="0B1157EF"/>
    <w:rsid w:val="0B1765E0"/>
    <w:rsid w:val="0B1C1D7C"/>
    <w:rsid w:val="0B22066E"/>
    <w:rsid w:val="0B2643BE"/>
    <w:rsid w:val="0B3F2432"/>
    <w:rsid w:val="0B4D5218"/>
    <w:rsid w:val="0B622E13"/>
    <w:rsid w:val="0B6F789F"/>
    <w:rsid w:val="0B717521"/>
    <w:rsid w:val="0B892782"/>
    <w:rsid w:val="0BB2460A"/>
    <w:rsid w:val="0BB53F3C"/>
    <w:rsid w:val="0BC739F0"/>
    <w:rsid w:val="0BE17727"/>
    <w:rsid w:val="0BF427F9"/>
    <w:rsid w:val="0C0C632D"/>
    <w:rsid w:val="0C3C0AB0"/>
    <w:rsid w:val="0C6038EF"/>
    <w:rsid w:val="0C654C73"/>
    <w:rsid w:val="0C751214"/>
    <w:rsid w:val="0C780533"/>
    <w:rsid w:val="0C85742B"/>
    <w:rsid w:val="0C873353"/>
    <w:rsid w:val="0C8B4B61"/>
    <w:rsid w:val="0C9D3F03"/>
    <w:rsid w:val="0CA92BAC"/>
    <w:rsid w:val="0CB90F2E"/>
    <w:rsid w:val="0D04575D"/>
    <w:rsid w:val="0D0612B8"/>
    <w:rsid w:val="0D066A9C"/>
    <w:rsid w:val="0D0714BC"/>
    <w:rsid w:val="0D1A52C8"/>
    <w:rsid w:val="0D2767B5"/>
    <w:rsid w:val="0D3E327E"/>
    <w:rsid w:val="0D5800C7"/>
    <w:rsid w:val="0D6A353C"/>
    <w:rsid w:val="0D976014"/>
    <w:rsid w:val="0DA060E8"/>
    <w:rsid w:val="0DCE36F3"/>
    <w:rsid w:val="0DD621E4"/>
    <w:rsid w:val="0DDE1317"/>
    <w:rsid w:val="0E0313B1"/>
    <w:rsid w:val="0E0D1A47"/>
    <w:rsid w:val="0E3217E8"/>
    <w:rsid w:val="0E5E2B07"/>
    <w:rsid w:val="0E771E51"/>
    <w:rsid w:val="0E8118C0"/>
    <w:rsid w:val="0EA11114"/>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D0019"/>
    <w:rsid w:val="0FAD3299"/>
    <w:rsid w:val="0FB31343"/>
    <w:rsid w:val="0FC12836"/>
    <w:rsid w:val="0FD95333"/>
    <w:rsid w:val="10045EE6"/>
    <w:rsid w:val="1035409F"/>
    <w:rsid w:val="1037078D"/>
    <w:rsid w:val="103A7991"/>
    <w:rsid w:val="10462479"/>
    <w:rsid w:val="104B2D15"/>
    <w:rsid w:val="10674DB0"/>
    <w:rsid w:val="107374A2"/>
    <w:rsid w:val="10886883"/>
    <w:rsid w:val="108A2129"/>
    <w:rsid w:val="10924B2D"/>
    <w:rsid w:val="10953B42"/>
    <w:rsid w:val="10CC5735"/>
    <w:rsid w:val="10E83045"/>
    <w:rsid w:val="10FA45D2"/>
    <w:rsid w:val="11024527"/>
    <w:rsid w:val="110A4489"/>
    <w:rsid w:val="111A28E5"/>
    <w:rsid w:val="112F54D2"/>
    <w:rsid w:val="1133321C"/>
    <w:rsid w:val="11576536"/>
    <w:rsid w:val="11607F73"/>
    <w:rsid w:val="117824F0"/>
    <w:rsid w:val="117E2370"/>
    <w:rsid w:val="11847341"/>
    <w:rsid w:val="11AF439E"/>
    <w:rsid w:val="11B66269"/>
    <w:rsid w:val="11BA0839"/>
    <w:rsid w:val="11F267E8"/>
    <w:rsid w:val="1210456D"/>
    <w:rsid w:val="121729B6"/>
    <w:rsid w:val="122732E7"/>
    <w:rsid w:val="122C6138"/>
    <w:rsid w:val="123A52C3"/>
    <w:rsid w:val="125A02CC"/>
    <w:rsid w:val="12845278"/>
    <w:rsid w:val="128E70AD"/>
    <w:rsid w:val="12AC51B9"/>
    <w:rsid w:val="12B1068C"/>
    <w:rsid w:val="12C77089"/>
    <w:rsid w:val="12CB4026"/>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E285E"/>
    <w:rsid w:val="144C6544"/>
    <w:rsid w:val="14812D74"/>
    <w:rsid w:val="14836C15"/>
    <w:rsid w:val="14862300"/>
    <w:rsid w:val="14A82A63"/>
    <w:rsid w:val="14AC358C"/>
    <w:rsid w:val="14B76730"/>
    <w:rsid w:val="14DE753E"/>
    <w:rsid w:val="151B0462"/>
    <w:rsid w:val="151C45D8"/>
    <w:rsid w:val="15290336"/>
    <w:rsid w:val="155B1745"/>
    <w:rsid w:val="155F651D"/>
    <w:rsid w:val="15601BF4"/>
    <w:rsid w:val="15655F19"/>
    <w:rsid w:val="157348EB"/>
    <w:rsid w:val="15787FE5"/>
    <w:rsid w:val="157E21FE"/>
    <w:rsid w:val="15A00918"/>
    <w:rsid w:val="15AA7A19"/>
    <w:rsid w:val="15AC5259"/>
    <w:rsid w:val="15B06B12"/>
    <w:rsid w:val="15BE3D9D"/>
    <w:rsid w:val="15D4474D"/>
    <w:rsid w:val="15D7597F"/>
    <w:rsid w:val="161C3234"/>
    <w:rsid w:val="163A180D"/>
    <w:rsid w:val="1641433F"/>
    <w:rsid w:val="165C4863"/>
    <w:rsid w:val="1663476A"/>
    <w:rsid w:val="166C0D1B"/>
    <w:rsid w:val="167344C7"/>
    <w:rsid w:val="16794785"/>
    <w:rsid w:val="16853FE3"/>
    <w:rsid w:val="16A65B92"/>
    <w:rsid w:val="16AD0A57"/>
    <w:rsid w:val="16BA18A0"/>
    <w:rsid w:val="16C41FCF"/>
    <w:rsid w:val="16E7220A"/>
    <w:rsid w:val="16F7773E"/>
    <w:rsid w:val="16FD7F89"/>
    <w:rsid w:val="170133DA"/>
    <w:rsid w:val="170259E1"/>
    <w:rsid w:val="170353FD"/>
    <w:rsid w:val="171053FC"/>
    <w:rsid w:val="17382580"/>
    <w:rsid w:val="175E4288"/>
    <w:rsid w:val="176C704A"/>
    <w:rsid w:val="17844C56"/>
    <w:rsid w:val="17A30F12"/>
    <w:rsid w:val="17BA48D6"/>
    <w:rsid w:val="17D77CA7"/>
    <w:rsid w:val="17DD34AB"/>
    <w:rsid w:val="17FE0B0A"/>
    <w:rsid w:val="17FE0C9F"/>
    <w:rsid w:val="17FF3C9D"/>
    <w:rsid w:val="18235E85"/>
    <w:rsid w:val="18331DAD"/>
    <w:rsid w:val="187640ED"/>
    <w:rsid w:val="18804AA7"/>
    <w:rsid w:val="18A16B9A"/>
    <w:rsid w:val="18AF5199"/>
    <w:rsid w:val="18B417E1"/>
    <w:rsid w:val="18E872D7"/>
    <w:rsid w:val="18F3471F"/>
    <w:rsid w:val="18F931E6"/>
    <w:rsid w:val="18FA042B"/>
    <w:rsid w:val="18FE4771"/>
    <w:rsid w:val="19046384"/>
    <w:rsid w:val="19200B97"/>
    <w:rsid w:val="19267DCF"/>
    <w:rsid w:val="192A5704"/>
    <w:rsid w:val="194A1ACB"/>
    <w:rsid w:val="19537076"/>
    <w:rsid w:val="19564B19"/>
    <w:rsid w:val="195F336A"/>
    <w:rsid w:val="196A0432"/>
    <w:rsid w:val="19720BF1"/>
    <w:rsid w:val="198374F4"/>
    <w:rsid w:val="1989194D"/>
    <w:rsid w:val="19893C00"/>
    <w:rsid w:val="19A7296F"/>
    <w:rsid w:val="19B94DE5"/>
    <w:rsid w:val="19BB7983"/>
    <w:rsid w:val="19D76F77"/>
    <w:rsid w:val="19DE7440"/>
    <w:rsid w:val="19E434D7"/>
    <w:rsid w:val="1A045B87"/>
    <w:rsid w:val="1A5F7253"/>
    <w:rsid w:val="1A725418"/>
    <w:rsid w:val="1A7A2EF9"/>
    <w:rsid w:val="1A7F4EDC"/>
    <w:rsid w:val="1A960E81"/>
    <w:rsid w:val="1A9A0C93"/>
    <w:rsid w:val="1AB359A1"/>
    <w:rsid w:val="1AB54B62"/>
    <w:rsid w:val="1ABD31B9"/>
    <w:rsid w:val="1AC91D4C"/>
    <w:rsid w:val="1ACE2A77"/>
    <w:rsid w:val="1AD55B02"/>
    <w:rsid w:val="1ADA6731"/>
    <w:rsid w:val="1ADC2627"/>
    <w:rsid w:val="1AF06C95"/>
    <w:rsid w:val="1AF34AE5"/>
    <w:rsid w:val="1AF84C8C"/>
    <w:rsid w:val="1AFE2079"/>
    <w:rsid w:val="1B00502A"/>
    <w:rsid w:val="1B0B3B20"/>
    <w:rsid w:val="1B1613A0"/>
    <w:rsid w:val="1B2A7E36"/>
    <w:rsid w:val="1B324397"/>
    <w:rsid w:val="1B372EB9"/>
    <w:rsid w:val="1B40005E"/>
    <w:rsid w:val="1B5D3106"/>
    <w:rsid w:val="1B7906CE"/>
    <w:rsid w:val="1B7D07F3"/>
    <w:rsid w:val="1B831B2B"/>
    <w:rsid w:val="1BA57F07"/>
    <w:rsid w:val="1BB848C7"/>
    <w:rsid w:val="1BD91032"/>
    <w:rsid w:val="1C0D60C9"/>
    <w:rsid w:val="1C33796F"/>
    <w:rsid w:val="1C441419"/>
    <w:rsid w:val="1C561E66"/>
    <w:rsid w:val="1C6D4144"/>
    <w:rsid w:val="1C793EB9"/>
    <w:rsid w:val="1C807142"/>
    <w:rsid w:val="1C9A166E"/>
    <w:rsid w:val="1CB702E9"/>
    <w:rsid w:val="1CBE5026"/>
    <w:rsid w:val="1CF333A5"/>
    <w:rsid w:val="1D0B731D"/>
    <w:rsid w:val="1D2054C4"/>
    <w:rsid w:val="1D4969F4"/>
    <w:rsid w:val="1D563E2F"/>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2B06B7"/>
    <w:rsid w:val="1F3C6AF7"/>
    <w:rsid w:val="1F405E44"/>
    <w:rsid w:val="1F4E681F"/>
    <w:rsid w:val="1F5324C1"/>
    <w:rsid w:val="1F6833F6"/>
    <w:rsid w:val="1F7959F4"/>
    <w:rsid w:val="1F7C19E4"/>
    <w:rsid w:val="1F83562C"/>
    <w:rsid w:val="1FBD7AAE"/>
    <w:rsid w:val="1FBE77B2"/>
    <w:rsid w:val="1FC26AB9"/>
    <w:rsid w:val="1FE91483"/>
    <w:rsid w:val="1FED166B"/>
    <w:rsid w:val="2000119F"/>
    <w:rsid w:val="20107ED3"/>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35BDE"/>
    <w:rsid w:val="20E9348D"/>
    <w:rsid w:val="20F667B9"/>
    <w:rsid w:val="20F90A4D"/>
    <w:rsid w:val="210D2CDA"/>
    <w:rsid w:val="212F6A59"/>
    <w:rsid w:val="21306305"/>
    <w:rsid w:val="213D54AD"/>
    <w:rsid w:val="214169BB"/>
    <w:rsid w:val="217C7971"/>
    <w:rsid w:val="217D44BC"/>
    <w:rsid w:val="21997056"/>
    <w:rsid w:val="219D3F2A"/>
    <w:rsid w:val="21AB77F7"/>
    <w:rsid w:val="21BF03BC"/>
    <w:rsid w:val="21BF480E"/>
    <w:rsid w:val="21D06D34"/>
    <w:rsid w:val="21D52CEC"/>
    <w:rsid w:val="2209399D"/>
    <w:rsid w:val="22101F8E"/>
    <w:rsid w:val="2225227E"/>
    <w:rsid w:val="224E74D0"/>
    <w:rsid w:val="22544387"/>
    <w:rsid w:val="227F5037"/>
    <w:rsid w:val="228A008B"/>
    <w:rsid w:val="229A7E25"/>
    <w:rsid w:val="22B059F5"/>
    <w:rsid w:val="22B06BDB"/>
    <w:rsid w:val="22BD504B"/>
    <w:rsid w:val="22D61781"/>
    <w:rsid w:val="22F017B2"/>
    <w:rsid w:val="22F97E5B"/>
    <w:rsid w:val="230B07F6"/>
    <w:rsid w:val="23143B37"/>
    <w:rsid w:val="231637F9"/>
    <w:rsid w:val="23230E78"/>
    <w:rsid w:val="233027B0"/>
    <w:rsid w:val="23415924"/>
    <w:rsid w:val="235924CA"/>
    <w:rsid w:val="237B7D6C"/>
    <w:rsid w:val="238755B6"/>
    <w:rsid w:val="238B65DE"/>
    <w:rsid w:val="239130F2"/>
    <w:rsid w:val="239B728F"/>
    <w:rsid w:val="23BD6F6C"/>
    <w:rsid w:val="23C80F4A"/>
    <w:rsid w:val="23D33566"/>
    <w:rsid w:val="23D9762E"/>
    <w:rsid w:val="23E52298"/>
    <w:rsid w:val="24137B5B"/>
    <w:rsid w:val="24176341"/>
    <w:rsid w:val="24211333"/>
    <w:rsid w:val="242461D7"/>
    <w:rsid w:val="242C04D9"/>
    <w:rsid w:val="242E2FF6"/>
    <w:rsid w:val="242E7ECB"/>
    <w:rsid w:val="244F2484"/>
    <w:rsid w:val="24574CEB"/>
    <w:rsid w:val="245D41D2"/>
    <w:rsid w:val="24667266"/>
    <w:rsid w:val="24731A96"/>
    <w:rsid w:val="247A5C3A"/>
    <w:rsid w:val="248907B2"/>
    <w:rsid w:val="249A5E20"/>
    <w:rsid w:val="249C2676"/>
    <w:rsid w:val="249C6208"/>
    <w:rsid w:val="24BD38BA"/>
    <w:rsid w:val="252053F9"/>
    <w:rsid w:val="25467DBB"/>
    <w:rsid w:val="25473E3C"/>
    <w:rsid w:val="256343AC"/>
    <w:rsid w:val="257F18B5"/>
    <w:rsid w:val="25805FF5"/>
    <w:rsid w:val="258F15BB"/>
    <w:rsid w:val="259231BD"/>
    <w:rsid w:val="25A77DD4"/>
    <w:rsid w:val="25C97301"/>
    <w:rsid w:val="260B255C"/>
    <w:rsid w:val="26217848"/>
    <w:rsid w:val="262E20E8"/>
    <w:rsid w:val="262E34C1"/>
    <w:rsid w:val="2640682F"/>
    <w:rsid w:val="26510DB8"/>
    <w:rsid w:val="26667EB2"/>
    <w:rsid w:val="266B1FB8"/>
    <w:rsid w:val="267E518B"/>
    <w:rsid w:val="26872779"/>
    <w:rsid w:val="269B3F13"/>
    <w:rsid w:val="26A4288C"/>
    <w:rsid w:val="26BA59F2"/>
    <w:rsid w:val="26C36DE5"/>
    <w:rsid w:val="26F40E3F"/>
    <w:rsid w:val="26F40EBD"/>
    <w:rsid w:val="272A3F42"/>
    <w:rsid w:val="274A7B1A"/>
    <w:rsid w:val="275439E1"/>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A6C60"/>
    <w:rsid w:val="28DB0A30"/>
    <w:rsid w:val="28E23EF8"/>
    <w:rsid w:val="28F95F71"/>
    <w:rsid w:val="291712DF"/>
    <w:rsid w:val="29192BE8"/>
    <w:rsid w:val="291C432F"/>
    <w:rsid w:val="292A375F"/>
    <w:rsid w:val="29316984"/>
    <w:rsid w:val="293310A0"/>
    <w:rsid w:val="2938092A"/>
    <w:rsid w:val="293966D9"/>
    <w:rsid w:val="2946144E"/>
    <w:rsid w:val="294A5BC8"/>
    <w:rsid w:val="29504176"/>
    <w:rsid w:val="296B20A7"/>
    <w:rsid w:val="29981CF5"/>
    <w:rsid w:val="29A4634A"/>
    <w:rsid w:val="29A84DD1"/>
    <w:rsid w:val="29CD2270"/>
    <w:rsid w:val="29EB2636"/>
    <w:rsid w:val="29F26903"/>
    <w:rsid w:val="29FD5045"/>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5B7165"/>
    <w:rsid w:val="2B686C09"/>
    <w:rsid w:val="2B8B34AB"/>
    <w:rsid w:val="2B914C5E"/>
    <w:rsid w:val="2BB44220"/>
    <w:rsid w:val="2BB61EA7"/>
    <w:rsid w:val="2BBA6EF5"/>
    <w:rsid w:val="2BC03979"/>
    <w:rsid w:val="2BC941AF"/>
    <w:rsid w:val="2BEC4F7F"/>
    <w:rsid w:val="2BF01DD3"/>
    <w:rsid w:val="2BF51B27"/>
    <w:rsid w:val="2C11705A"/>
    <w:rsid w:val="2C1216FD"/>
    <w:rsid w:val="2C1F2C4F"/>
    <w:rsid w:val="2C5514C6"/>
    <w:rsid w:val="2C5C2032"/>
    <w:rsid w:val="2C72088D"/>
    <w:rsid w:val="2C7D6665"/>
    <w:rsid w:val="2C865A05"/>
    <w:rsid w:val="2C8B0557"/>
    <w:rsid w:val="2CBC4209"/>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3A3030"/>
    <w:rsid w:val="2E705752"/>
    <w:rsid w:val="2E75095F"/>
    <w:rsid w:val="2EA26ABE"/>
    <w:rsid w:val="2EA74B75"/>
    <w:rsid w:val="2EB61295"/>
    <w:rsid w:val="2EEA307E"/>
    <w:rsid w:val="2EF53C20"/>
    <w:rsid w:val="2EFC5DDD"/>
    <w:rsid w:val="2F002CCF"/>
    <w:rsid w:val="2F0160A3"/>
    <w:rsid w:val="2F18561C"/>
    <w:rsid w:val="2F2960CC"/>
    <w:rsid w:val="2F2F3D52"/>
    <w:rsid w:val="2F3B7B8B"/>
    <w:rsid w:val="2F805714"/>
    <w:rsid w:val="2F8E5F5C"/>
    <w:rsid w:val="2FA21231"/>
    <w:rsid w:val="2FAD4759"/>
    <w:rsid w:val="2FCA0967"/>
    <w:rsid w:val="2FF117AD"/>
    <w:rsid w:val="2FF95633"/>
    <w:rsid w:val="300F7F13"/>
    <w:rsid w:val="301E3C00"/>
    <w:rsid w:val="30500A5C"/>
    <w:rsid w:val="30752E77"/>
    <w:rsid w:val="30804E19"/>
    <w:rsid w:val="3090288F"/>
    <w:rsid w:val="309B0CFB"/>
    <w:rsid w:val="309E4272"/>
    <w:rsid w:val="30DC45E8"/>
    <w:rsid w:val="30DD6027"/>
    <w:rsid w:val="30DE16AB"/>
    <w:rsid w:val="30F44A95"/>
    <w:rsid w:val="30FA21D8"/>
    <w:rsid w:val="311D5B14"/>
    <w:rsid w:val="31647576"/>
    <w:rsid w:val="31665E5D"/>
    <w:rsid w:val="316D6950"/>
    <w:rsid w:val="31822EAF"/>
    <w:rsid w:val="31840D12"/>
    <w:rsid w:val="318B788B"/>
    <w:rsid w:val="31A53A0B"/>
    <w:rsid w:val="31B23BA8"/>
    <w:rsid w:val="31CA5CF8"/>
    <w:rsid w:val="31CB26CD"/>
    <w:rsid w:val="31D06A52"/>
    <w:rsid w:val="31E84CBC"/>
    <w:rsid w:val="31F20023"/>
    <w:rsid w:val="31FB60C5"/>
    <w:rsid w:val="32226597"/>
    <w:rsid w:val="324968A9"/>
    <w:rsid w:val="325952CA"/>
    <w:rsid w:val="327E6AD8"/>
    <w:rsid w:val="32946A84"/>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C75ED"/>
    <w:rsid w:val="353E791E"/>
    <w:rsid w:val="354008AB"/>
    <w:rsid w:val="354C7B38"/>
    <w:rsid w:val="354F28B8"/>
    <w:rsid w:val="35562F9E"/>
    <w:rsid w:val="355D687A"/>
    <w:rsid w:val="35744059"/>
    <w:rsid w:val="35771AC2"/>
    <w:rsid w:val="357960B4"/>
    <w:rsid w:val="35A0338E"/>
    <w:rsid w:val="35A16611"/>
    <w:rsid w:val="35A31A0A"/>
    <w:rsid w:val="35AB5D7D"/>
    <w:rsid w:val="35C154C0"/>
    <w:rsid w:val="35C7584B"/>
    <w:rsid w:val="35DD2AEE"/>
    <w:rsid w:val="35EA6509"/>
    <w:rsid w:val="35F44E5C"/>
    <w:rsid w:val="35F45994"/>
    <w:rsid w:val="3602050E"/>
    <w:rsid w:val="36101A49"/>
    <w:rsid w:val="36265F04"/>
    <w:rsid w:val="36297754"/>
    <w:rsid w:val="363F4D43"/>
    <w:rsid w:val="36627C0A"/>
    <w:rsid w:val="36693B36"/>
    <w:rsid w:val="366B0AAA"/>
    <w:rsid w:val="36752210"/>
    <w:rsid w:val="36922B55"/>
    <w:rsid w:val="36991125"/>
    <w:rsid w:val="36B121C7"/>
    <w:rsid w:val="36D27C18"/>
    <w:rsid w:val="36D512A9"/>
    <w:rsid w:val="36F414F3"/>
    <w:rsid w:val="370974B4"/>
    <w:rsid w:val="371E6151"/>
    <w:rsid w:val="37277663"/>
    <w:rsid w:val="37357964"/>
    <w:rsid w:val="37446333"/>
    <w:rsid w:val="37446A77"/>
    <w:rsid w:val="378A731A"/>
    <w:rsid w:val="378E3617"/>
    <w:rsid w:val="37931A90"/>
    <w:rsid w:val="37A4082B"/>
    <w:rsid w:val="37A4627C"/>
    <w:rsid w:val="37A530D5"/>
    <w:rsid w:val="37A570AD"/>
    <w:rsid w:val="37B5292C"/>
    <w:rsid w:val="37BA6351"/>
    <w:rsid w:val="37C93B72"/>
    <w:rsid w:val="37F311D3"/>
    <w:rsid w:val="37F7242F"/>
    <w:rsid w:val="380579FE"/>
    <w:rsid w:val="382150C9"/>
    <w:rsid w:val="38284CDE"/>
    <w:rsid w:val="382F19E6"/>
    <w:rsid w:val="383219FD"/>
    <w:rsid w:val="383B2EED"/>
    <w:rsid w:val="384C2D57"/>
    <w:rsid w:val="386A1921"/>
    <w:rsid w:val="38894DA5"/>
    <w:rsid w:val="388F1CEE"/>
    <w:rsid w:val="38981AB5"/>
    <w:rsid w:val="38A40C18"/>
    <w:rsid w:val="38AB306B"/>
    <w:rsid w:val="38BF2270"/>
    <w:rsid w:val="38C33701"/>
    <w:rsid w:val="38C43916"/>
    <w:rsid w:val="38D504F4"/>
    <w:rsid w:val="38D95A84"/>
    <w:rsid w:val="38E11AA1"/>
    <w:rsid w:val="38E46191"/>
    <w:rsid w:val="38F50C85"/>
    <w:rsid w:val="393544DD"/>
    <w:rsid w:val="393962EC"/>
    <w:rsid w:val="394935B8"/>
    <w:rsid w:val="394C557A"/>
    <w:rsid w:val="3952190F"/>
    <w:rsid w:val="395753F2"/>
    <w:rsid w:val="39834074"/>
    <w:rsid w:val="39885108"/>
    <w:rsid w:val="39907940"/>
    <w:rsid w:val="399602F5"/>
    <w:rsid w:val="399B5B0D"/>
    <w:rsid w:val="39A25905"/>
    <w:rsid w:val="39BB78F7"/>
    <w:rsid w:val="39BC428E"/>
    <w:rsid w:val="39C46549"/>
    <w:rsid w:val="39C70F51"/>
    <w:rsid w:val="39CA1A60"/>
    <w:rsid w:val="39D3749A"/>
    <w:rsid w:val="39DD49C2"/>
    <w:rsid w:val="39DD4ACE"/>
    <w:rsid w:val="39EC7454"/>
    <w:rsid w:val="3A237175"/>
    <w:rsid w:val="3A354F31"/>
    <w:rsid w:val="3A4C76E2"/>
    <w:rsid w:val="3A796E46"/>
    <w:rsid w:val="3A9A224E"/>
    <w:rsid w:val="3A9C1F8C"/>
    <w:rsid w:val="3A9D2551"/>
    <w:rsid w:val="3AA97F70"/>
    <w:rsid w:val="3ABF42F5"/>
    <w:rsid w:val="3AFD37D0"/>
    <w:rsid w:val="3B016EE9"/>
    <w:rsid w:val="3B3A132E"/>
    <w:rsid w:val="3B456D7F"/>
    <w:rsid w:val="3B5E261D"/>
    <w:rsid w:val="3B616FBE"/>
    <w:rsid w:val="3B6F5B73"/>
    <w:rsid w:val="3B7B1D0B"/>
    <w:rsid w:val="3B873119"/>
    <w:rsid w:val="3BA35FC1"/>
    <w:rsid w:val="3BA566FD"/>
    <w:rsid w:val="3BB47D9F"/>
    <w:rsid w:val="3BF10AAD"/>
    <w:rsid w:val="3C042946"/>
    <w:rsid w:val="3C070D59"/>
    <w:rsid w:val="3C0E09BE"/>
    <w:rsid w:val="3C0F1954"/>
    <w:rsid w:val="3C1E391D"/>
    <w:rsid w:val="3C294498"/>
    <w:rsid w:val="3C333216"/>
    <w:rsid w:val="3C36018F"/>
    <w:rsid w:val="3C4F7D80"/>
    <w:rsid w:val="3C64689F"/>
    <w:rsid w:val="3C740DAA"/>
    <w:rsid w:val="3C7E65EC"/>
    <w:rsid w:val="3C812838"/>
    <w:rsid w:val="3C9466E3"/>
    <w:rsid w:val="3C9E64A0"/>
    <w:rsid w:val="3CA95FB0"/>
    <w:rsid w:val="3CAA38C3"/>
    <w:rsid w:val="3CB36CF4"/>
    <w:rsid w:val="3CBA78F5"/>
    <w:rsid w:val="3CC26B63"/>
    <w:rsid w:val="3CD71E34"/>
    <w:rsid w:val="3CE54B9F"/>
    <w:rsid w:val="3CFD37E7"/>
    <w:rsid w:val="3D272F24"/>
    <w:rsid w:val="3D3340DA"/>
    <w:rsid w:val="3D47670E"/>
    <w:rsid w:val="3D58163A"/>
    <w:rsid w:val="3D5A05E2"/>
    <w:rsid w:val="3D5C63D4"/>
    <w:rsid w:val="3D7618FA"/>
    <w:rsid w:val="3D791797"/>
    <w:rsid w:val="3D8522AA"/>
    <w:rsid w:val="3D975244"/>
    <w:rsid w:val="3D9A0655"/>
    <w:rsid w:val="3DB17297"/>
    <w:rsid w:val="3DE37514"/>
    <w:rsid w:val="3DE548AC"/>
    <w:rsid w:val="3DE653F8"/>
    <w:rsid w:val="3DE72673"/>
    <w:rsid w:val="3DEB1255"/>
    <w:rsid w:val="3E0F25EA"/>
    <w:rsid w:val="3E146F59"/>
    <w:rsid w:val="3E237BCC"/>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B59F3"/>
    <w:rsid w:val="3F144192"/>
    <w:rsid w:val="3F217DDA"/>
    <w:rsid w:val="3F4A4087"/>
    <w:rsid w:val="3F952814"/>
    <w:rsid w:val="3FA41C63"/>
    <w:rsid w:val="3FAB3D87"/>
    <w:rsid w:val="3FAB41A2"/>
    <w:rsid w:val="3FAE47F6"/>
    <w:rsid w:val="400A1CFC"/>
    <w:rsid w:val="40400533"/>
    <w:rsid w:val="406D461C"/>
    <w:rsid w:val="406F7D87"/>
    <w:rsid w:val="40825FDB"/>
    <w:rsid w:val="40907287"/>
    <w:rsid w:val="409238F2"/>
    <w:rsid w:val="40BD153A"/>
    <w:rsid w:val="40CD7BD8"/>
    <w:rsid w:val="40D07371"/>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E4117E"/>
    <w:rsid w:val="41F24303"/>
    <w:rsid w:val="41F52080"/>
    <w:rsid w:val="420850A2"/>
    <w:rsid w:val="422E207E"/>
    <w:rsid w:val="42571AE1"/>
    <w:rsid w:val="42697E79"/>
    <w:rsid w:val="42730E0D"/>
    <w:rsid w:val="427409B9"/>
    <w:rsid w:val="42831021"/>
    <w:rsid w:val="42873CB7"/>
    <w:rsid w:val="42A87389"/>
    <w:rsid w:val="42B63D6B"/>
    <w:rsid w:val="42D67001"/>
    <w:rsid w:val="42E06A10"/>
    <w:rsid w:val="43112BE5"/>
    <w:rsid w:val="431B56C6"/>
    <w:rsid w:val="432E5E21"/>
    <w:rsid w:val="433D2335"/>
    <w:rsid w:val="436A2192"/>
    <w:rsid w:val="439C3431"/>
    <w:rsid w:val="439D0E7C"/>
    <w:rsid w:val="43A26A83"/>
    <w:rsid w:val="43B40893"/>
    <w:rsid w:val="43D67A91"/>
    <w:rsid w:val="43E21F58"/>
    <w:rsid w:val="43F76F69"/>
    <w:rsid w:val="43FC0DB2"/>
    <w:rsid w:val="444109FB"/>
    <w:rsid w:val="44584267"/>
    <w:rsid w:val="44740841"/>
    <w:rsid w:val="447B4A66"/>
    <w:rsid w:val="447D4136"/>
    <w:rsid w:val="448B5845"/>
    <w:rsid w:val="44907237"/>
    <w:rsid w:val="449D7968"/>
    <w:rsid w:val="44B53006"/>
    <w:rsid w:val="44C87C0F"/>
    <w:rsid w:val="44DF6F1B"/>
    <w:rsid w:val="454E4F75"/>
    <w:rsid w:val="454E6B7A"/>
    <w:rsid w:val="456C4CA4"/>
    <w:rsid w:val="457736FF"/>
    <w:rsid w:val="45790DCE"/>
    <w:rsid w:val="458B757C"/>
    <w:rsid w:val="45917B8A"/>
    <w:rsid w:val="45E826B2"/>
    <w:rsid w:val="45F4334C"/>
    <w:rsid w:val="46466453"/>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351654"/>
    <w:rsid w:val="47457188"/>
    <w:rsid w:val="47666951"/>
    <w:rsid w:val="47683159"/>
    <w:rsid w:val="479D7800"/>
    <w:rsid w:val="47DD6A91"/>
    <w:rsid w:val="47EB0853"/>
    <w:rsid w:val="47FA20F9"/>
    <w:rsid w:val="47FF3A74"/>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0933FA"/>
    <w:rsid w:val="4935171C"/>
    <w:rsid w:val="49366254"/>
    <w:rsid w:val="495C3370"/>
    <w:rsid w:val="496409A2"/>
    <w:rsid w:val="49707759"/>
    <w:rsid w:val="49927DFC"/>
    <w:rsid w:val="4995554E"/>
    <w:rsid w:val="499B3646"/>
    <w:rsid w:val="499C3504"/>
    <w:rsid w:val="49A43EE6"/>
    <w:rsid w:val="49AB3DB8"/>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A75186"/>
    <w:rsid w:val="4AC4256B"/>
    <w:rsid w:val="4AD162A8"/>
    <w:rsid w:val="4AD768C6"/>
    <w:rsid w:val="4AF902F5"/>
    <w:rsid w:val="4AF94D42"/>
    <w:rsid w:val="4B376E2E"/>
    <w:rsid w:val="4B385AE2"/>
    <w:rsid w:val="4B53122B"/>
    <w:rsid w:val="4B705844"/>
    <w:rsid w:val="4B7224D0"/>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A84091"/>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922BF5"/>
    <w:rsid w:val="4DA53BC8"/>
    <w:rsid w:val="4DB41824"/>
    <w:rsid w:val="4DD776ED"/>
    <w:rsid w:val="4DDF6E13"/>
    <w:rsid w:val="4DE60E50"/>
    <w:rsid w:val="4DF03704"/>
    <w:rsid w:val="4DF20FEE"/>
    <w:rsid w:val="4E0939E5"/>
    <w:rsid w:val="4E176DF3"/>
    <w:rsid w:val="4E3A2C21"/>
    <w:rsid w:val="4E4475F5"/>
    <w:rsid w:val="4E68543B"/>
    <w:rsid w:val="4E694E99"/>
    <w:rsid w:val="4E795FE9"/>
    <w:rsid w:val="4E9F5613"/>
    <w:rsid w:val="4EE86D63"/>
    <w:rsid w:val="4EEE11A3"/>
    <w:rsid w:val="4EFF3444"/>
    <w:rsid w:val="4F0441E5"/>
    <w:rsid w:val="4F155F27"/>
    <w:rsid w:val="4F3D4163"/>
    <w:rsid w:val="4F52545D"/>
    <w:rsid w:val="4F7278C6"/>
    <w:rsid w:val="4F85034E"/>
    <w:rsid w:val="4F983E33"/>
    <w:rsid w:val="4F9B5328"/>
    <w:rsid w:val="4FAB3627"/>
    <w:rsid w:val="4FB40C2C"/>
    <w:rsid w:val="4FBA52BE"/>
    <w:rsid w:val="4FC30AF2"/>
    <w:rsid w:val="4FD365FC"/>
    <w:rsid w:val="4FD62D61"/>
    <w:rsid w:val="4FDC6418"/>
    <w:rsid w:val="4FE15781"/>
    <w:rsid w:val="4FF5506D"/>
    <w:rsid w:val="50046739"/>
    <w:rsid w:val="50095827"/>
    <w:rsid w:val="50186BF6"/>
    <w:rsid w:val="502C4247"/>
    <w:rsid w:val="502D25A0"/>
    <w:rsid w:val="503D5373"/>
    <w:rsid w:val="504261AC"/>
    <w:rsid w:val="506309DB"/>
    <w:rsid w:val="50B139BD"/>
    <w:rsid w:val="50BD1498"/>
    <w:rsid w:val="50BE1B1D"/>
    <w:rsid w:val="50C51F05"/>
    <w:rsid w:val="50D228CF"/>
    <w:rsid w:val="50E63519"/>
    <w:rsid w:val="50ED76FB"/>
    <w:rsid w:val="51187610"/>
    <w:rsid w:val="51375EB3"/>
    <w:rsid w:val="513853CC"/>
    <w:rsid w:val="514C1E16"/>
    <w:rsid w:val="515A64E3"/>
    <w:rsid w:val="515C30A6"/>
    <w:rsid w:val="5161698E"/>
    <w:rsid w:val="517F00BC"/>
    <w:rsid w:val="519D2F03"/>
    <w:rsid w:val="51BE2EAE"/>
    <w:rsid w:val="51DA5890"/>
    <w:rsid w:val="51F96848"/>
    <w:rsid w:val="52073487"/>
    <w:rsid w:val="521C5D43"/>
    <w:rsid w:val="521D7ED7"/>
    <w:rsid w:val="5239194F"/>
    <w:rsid w:val="52612620"/>
    <w:rsid w:val="52790FD9"/>
    <w:rsid w:val="528C5E23"/>
    <w:rsid w:val="529F0D9B"/>
    <w:rsid w:val="52CA3D8F"/>
    <w:rsid w:val="52CF0A4A"/>
    <w:rsid w:val="52DD5B35"/>
    <w:rsid w:val="52FC1C88"/>
    <w:rsid w:val="53155215"/>
    <w:rsid w:val="531621BA"/>
    <w:rsid w:val="531D0F10"/>
    <w:rsid w:val="533E0346"/>
    <w:rsid w:val="534246C3"/>
    <w:rsid w:val="53495ACD"/>
    <w:rsid w:val="5366542B"/>
    <w:rsid w:val="536D41AE"/>
    <w:rsid w:val="53794E20"/>
    <w:rsid w:val="5391597D"/>
    <w:rsid w:val="53947DE7"/>
    <w:rsid w:val="53A27D95"/>
    <w:rsid w:val="53A911A1"/>
    <w:rsid w:val="53E07B00"/>
    <w:rsid w:val="54002BFD"/>
    <w:rsid w:val="541A0C4F"/>
    <w:rsid w:val="542F7A60"/>
    <w:rsid w:val="54550067"/>
    <w:rsid w:val="54580F5A"/>
    <w:rsid w:val="5478695B"/>
    <w:rsid w:val="548810E8"/>
    <w:rsid w:val="549C6534"/>
    <w:rsid w:val="54A14490"/>
    <w:rsid w:val="54B62C99"/>
    <w:rsid w:val="54DF688B"/>
    <w:rsid w:val="550350A1"/>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B616D"/>
    <w:rsid w:val="56436207"/>
    <w:rsid w:val="564E27BB"/>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459F0"/>
    <w:rsid w:val="573B3910"/>
    <w:rsid w:val="57484376"/>
    <w:rsid w:val="574B4B12"/>
    <w:rsid w:val="575425F9"/>
    <w:rsid w:val="57686EA6"/>
    <w:rsid w:val="57702374"/>
    <w:rsid w:val="57780ED4"/>
    <w:rsid w:val="579A7C07"/>
    <w:rsid w:val="57A46FEE"/>
    <w:rsid w:val="57B02763"/>
    <w:rsid w:val="57B6547E"/>
    <w:rsid w:val="57D01AAC"/>
    <w:rsid w:val="57DF6500"/>
    <w:rsid w:val="57E73B61"/>
    <w:rsid w:val="5803475B"/>
    <w:rsid w:val="580A6FBE"/>
    <w:rsid w:val="580F5BC1"/>
    <w:rsid w:val="5822786C"/>
    <w:rsid w:val="58590DD2"/>
    <w:rsid w:val="586E1447"/>
    <w:rsid w:val="5878285F"/>
    <w:rsid w:val="588509DD"/>
    <w:rsid w:val="58953B9F"/>
    <w:rsid w:val="58957A8C"/>
    <w:rsid w:val="589F18E4"/>
    <w:rsid w:val="58B8443B"/>
    <w:rsid w:val="58BC4002"/>
    <w:rsid w:val="58DB456A"/>
    <w:rsid w:val="58E909DD"/>
    <w:rsid w:val="58FC07F5"/>
    <w:rsid w:val="59267EF0"/>
    <w:rsid w:val="59421F7E"/>
    <w:rsid w:val="594935F2"/>
    <w:rsid w:val="595C0946"/>
    <w:rsid w:val="59642A7A"/>
    <w:rsid w:val="596D32B4"/>
    <w:rsid w:val="599148CE"/>
    <w:rsid w:val="59A24ED6"/>
    <w:rsid w:val="59B6531E"/>
    <w:rsid w:val="59B75E8A"/>
    <w:rsid w:val="59BC0F73"/>
    <w:rsid w:val="59BD2911"/>
    <w:rsid w:val="59BE1CC3"/>
    <w:rsid w:val="59C13A26"/>
    <w:rsid w:val="59D906FD"/>
    <w:rsid w:val="59DA6C9E"/>
    <w:rsid w:val="59EB0D06"/>
    <w:rsid w:val="59FF2F18"/>
    <w:rsid w:val="5A0640DE"/>
    <w:rsid w:val="5A1215B1"/>
    <w:rsid w:val="5A1D0AF2"/>
    <w:rsid w:val="5A1F5196"/>
    <w:rsid w:val="5A227353"/>
    <w:rsid w:val="5A2E7AA8"/>
    <w:rsid w:val="5A440B9D"/>
    <w:rsid w:val="5A5128C3"/>
    <w:rsid w:val="5A575C31"/>
    <w:rsid w:val="5A5C7772"/>
    <w:rsid w:val="5A6336A1"/>
    <w:rsid w:val="5A6B7C88"/>
    <w:rsid w:val="5A73612A"/>
    <w:rsid w:val="5AA541CF"/>
    <w:rsid w:val="5AB96041"/>
    <w:rsid w:val="5ABC6BFA"/>
    <w:rsid w:val="5AD510F0"/>
    <w:rsid w:val="5AF82FCA"/>
    <w:rsid w:val="5B187495"/>
    <w:rsid w:val="5B1B10FA"/>
    <w:rsid w:val="5B2445B5"/>
    <w:rsid w:val="5B492D29"/>
    <w:rsid w:val="5B5B64C5"/>
    <w:rsid w:val="5B627DC7"/>
    <w:rsid w:val="5B6C5737"/>
    <w:rsid w:val="5B896F76"/>
    <w:rsid w:val="5B975E5B"/>
    <w:rsid w:val="5B9C0984"/>
    <w:rsid w:val="5BB214B7"/>
    <w:rsid w:val="5BBE6EBD"/>
    <w:rsid w:val="5BE23D1E"/>
    <w:rsid w:val="5BE24CD9"/>
    <w:rsid w:val="5BE50680"/>
    <w:rsid w:val="5BE52EE1"/>
    <w:rsid w:val="5BEA2231"/>
    <w:rsid w:val="5BF65E64"/>
    <w:rsid w:val="5BFD4032"/>
    <w:rsid w:val="5C1832F4"/>
    <w:rsid w:val="5C1A3044"/>
    <w:rsid w:val="5C5E033F"/>
    <w:rsid w:val="5C6875EE"/>
    <w:rsid w:val="5C6F12DC"/>
    <w:rsid w:val="5C7A525F"/>
    <w:rsid w:val="5CC43404"/>
    <w:rsid w:val="5CC93DAE"/>
    <w:rsid w:val="5CD31EE3"/>
    <w:rsid w:val="5D072BC8"/>
    <w:rsid w:val="5D076525"/>
    <w:rsid w:val="5D1B02CC"/>
    <w:rsid w:val="5D2B5629"/>
    <w:rsid w:val="5D315CEB"/>
    <w:rsid w:val="5D473075"/>
    <w:rsid w:val="5D5864DB"/>
    <w:rsid w:val="5D73393B"/>
    <w:rsid w:val="5D784379"/>
    <w:rsid w:val="5D7B3457"/>
    <w:rsid w:val="5D8B2715"/>
    <w:rsid w:val="5D915AFD"/>
    <w:rsid w:val="5D9F7C74"/>
    <w:rsid w:val="5DAE2E8C"/>
    <w:rsid w:val="5E00720B"/>
    <w:rsid w:val="5E012896"/>
    <w:rsid w:val="5E0A6049"/>
    <w:rsid w:val="5E156B70"/>
    <w:rsid w:val="5E226508"/>
    <w:rsid w:val="5E5F0687"/>
    <w:rsid w:val="5E783202"/>
    <w:rsid w:val="5E7842EE"/>
    <w:rsid w:val="5EB52E6F"/>
    <w:rsid w:val="5EC94A60"/>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907882"/>
    <w:rsid w:val="609517E9"/>
    <w:rsid w:val="60C5483E"/>
    <w:rsid w:val="60C867C5"/>
    <w:rsid w:val="60D3354A"/>
    <w:rsid w:val="60DB0800"/>
    <w:rsid w:val="60DE0DB6"/>
    <w:rsid w:val="60E54273"/>
    <w:rsid w:val="61067A64"/>
    <w:rsid w:val="610C7D1D"/>
    <w:rsid w:val="6112529A"/>
    <w:rsid w:val="611F0B09"/>
    <w:rsid w:val="61200AAF"/>
    <w:rsid w:val="616E223F"/>
    <w:rsid w:val="61963257"/>
    <w:rsid w:val="619C38B4"/>
    <w:rsid w:val="61A4486B"/>
    <w:rsid w:val="61BC23E5"/>
    <w:rsid w:val="61D21120"/>
    <w:rsid w:val="61E728F9"/>
    <w:rsid w:val="61F3667F"/>
    <w:rsid w:val="61FB110C"/>
    <w:rsid w:val="62185165"/>
    <w:rsid w:val="62460FCD"/>
    <w:rsid w:val="62480FF0"/>
    <w:rsid w:val="624B14C1"/>
    <w:rsid w:val="62630C6B"/>
    <w:rsid w:val="627301E8"/>
    <w:rsid w:val="6295194F"/>
    <w:rsid w:val="62BA3B2B"/>
    <w:rsid w:val="62C37511"/>
    <w:rsid w:val="62D11C3F"/>
    <w:rsid w:val="62E157FC"/>
    <w:rsid w:val="62E81148"/>
    <w:rsid w:val="62F76986"/>
    <w:rsid w:val="63340EAE"/>
    <w:rsid w:val="634B6A95"/>
    <w:rsid w:val="634F6CB9"/>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8B777B"/>
    <w:rsid w:val="649A6134"/>
    <w:rsid w:val="649D2569"/>
    <w:rsid w:val="64A51362"/>
    <w:rsid w:val="64A55A03"/>
    <w:rsid w:val="64B453B1"/>
    <w:rsid w:val="64BE5702"/>
    <w:rsid w:val="64FE0E31"/>
    <w:rsid w:val="651A5C6A"/>
    <w:rsid w:val="6522790C"/>
    <w:rsid w:val="65403733"/>
    <w:rsid w:val="655754CB"/>
    <w:rsid w:val="655E2D72"/>
    <w:rsid w:val="656171FC"/>
    <w:rsid w:val="65833C4F"/>
    <w:rsid w:val="658B37B6"/>
    <w:rsid w:val="659C17EE"/>
    <w:rsid w:val="65BD3777"/>
    <w:rsid w:val="65D70270"/>
    <w:rsid w:val="66032E7B"/>
    <w:rsid w:val="66053581"/>
    <w:rsid w:val="661026AA"/>
    <w:rsid w:val="663D054E"/>
    <w:rsid w:val="66460692"/>
    <w:rsid w:val="6679372B"/>
    <w:rsid w:val="66980BF6"/>
    <w:rsid w:val="66B81454"/>
    <w:rsid w:val="66BE1292"/>
    <w:rsid w:val="66BF76F1"/>
    <w:rsid w:val="66DC5BF8"/>
    <w:rsid w:val="66E173F9"/>
    <w:rsid w:val="66E3226C"/>
    <w:rsid w:val="66EC5E36"/>
    <w:rsid w:val="67181932"/>
    <w:rsid w:val="672A4901"/>
    <w:rsid w:val="67441B08"/>
    <w:rsid w:val="67513E69"/>
    <w:rsid w:val="675A17FE"/>
    <w:rsid w:val="677E2FA1"/>
    <w:rsid w:val="67836FB1"/>
    <w:rsid w:val="678A44B2"/>
    <w:rsid w:val="678C1D52"/>
    <w:rsid w:val="67AC341B"/>
    <w:rsid w:val="67C149C0"/>
    <w:rsid w:val="67C7427D"/>
    <w:rsid w:val="67CA7967"/>
    <w:rsid w:val="67CC38C5"/>
    <w:rsid w:val="67D9695E"/>
    <w:rsid w:val="67DC5CEA"/>
    <w:rsid w:val="67DF18A0"/>
    <w:rsid w:val="680965F8"/>
    <w:rsid w:val="681778E7"/>
    <w:rsid w:val="68240EAA"/>
    <w:rsid w:val="6850356A"/>
    <w:rsid w:val="685465AC"/>
    <w:rsid w:val="687442EE"/>
    <w:rsid w:val="689B3E14"/>
    <w:rsid w:val="689B52F8"/>
    <w:rsid w:val="689C5C1D"/>
    <w:rsid w:val="689D6F4C"/>
    <w:rsid w:val="689F2FA0"/>
    <w:rsid w:val="68AD26AA"/>
    <w:rsid w:val="68BC14B0"/>
    <w:rsid w:val="68BF0078"/>
    <w:rsid w:val="68C20D16"/>
    <w:rsid w:val="68DD619B"/>
    <w:rsid w:val="68FD5593"/>
    <w:rsid w:val="691B307E"/>
    <w:rsid w:val="6934218F"/>
    <w:rsid w:val="693C5AA5"/>
    <w:rsid w:val="693E13B7"/>
    <w:rsid w:val="6951205B"/>
    <w:rsid w:val="6953741D"/>
    <w:rsid w:val="69731101"/>
    <w:rsid w:val="697D087B"/>
    <w:rsid w:val="69806613"/>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07301"/>
    <w:rsid w:val="6AF63F29"/>
    <w:rsid w:val="6B285741"/>
    <w:rsid w:val="6B340EF1"/>
    <w:rsid w:val="6B3D06AC"/>
    <w:rsid w:val="6B444BB7"/>
    <w:rsid w:val="6B4B2C3B"/>
    <w:rsid w:val="6B5B0A52"/>
    <w:rsid w:val="6B5D2504"/>
    <w:rsid w:val="6B6C560D"/>
    <w:rsid w:val="6B95396B"/>
    <w:rsid w:val="6BBB00B1"/>
    <w:rsid w:val="6BC03721"/>
    <w:rsid w:val="6BCF2DCA"/>
    <w:rsid w:val="6BDD0493"/>
    <w:rsid w:val="6BDE54AC"/>
    <w:rsid w:val="6BF229CE"/>
    <w:rsid w:val="6BF25C39"/>
    <w:rsid w:val="6C06150E"/>
    <w:rsid w:val="6C155F31"/>
    <w:rsid w:val="6C206E21"/>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925740"/>
    <w:rsid w:val="6DA71839"/>
    <w:rsid w:val="6DB20233"/>
    <w:rsid w:val="6E0F320E"/>
    <w:rsid w:val="6E1B4CD0"/>
    <w:rsid w:val="6E2A0DD8"/>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7E1B78"/>
    <w:rsid w:val="6F9C5D71"/>
    <w:rsid w:val="6FA3781E"/>
    <w:rsid w:val="6FD36624"/>
    <w:rsid w:val="6FE53444"/>
    <w:rsid w:val="6FF1528E"/>
    <w:rsid w:val="700C0460"/>
    <w:rsid w:val="70170F2B"/>
    <w:rsid w:val="701E2FAB"/>
    <w:rsid w:val="70387A8F"/>
    <w:rsid w:val="70767F2C"/>
    <w:rsid w:val="707E62BB"/>
    <w:rsid w:val="709E640C"/>
    <w:rsid w:val="70B56633"/>
    <w:rsid w:val="70BB0D3E"/>
    <w:rsid w:val="70CF3906"/>
    <w:rsid w:val="70D91094"/>
    <w:rsid w:val="70DB76EF"/>
    <w:rsid w:val="70E47264"/>
    <w:rsid w:val="712D2ADB"/>
    <w:rsid w:val="71431855"/>
    <w:rsid w:val="7143374A"/>
    <w:rsid w:val="715117C4"/>
    <w:rsid w:val="71536701"/>
    <w:rsid w:val="716A160C"/>
    <w:rsid w:val="716B5F96"/>
    <w:rsid w:val="718B3A9F"/>
    <w:rsid w:val="71936186"/>
    <w:rsid w:val="71AF2F66"/>
    <w:rsid w:val="71C45E90"/>
    <w:rsid w:val="71C96C07"/>
    <w:rsid w:val="71CD28DD"/>
    <w:rsid w:val="71D00811"/>
    <w:rsid w:val="71DA7C5F"/>
    <w:rsid w:val="71DE4C74"/>
    <w:rsid w:val="71E346E4"/>
    <w:rsid w:val="71E767FC"/>
    <w:rsid w:val="71EF5D41"/>
    <w:rsid w:val="72056436"/>
    <w:rsid w:val="72130B93"/>
    <w:rsid w:val="723749D7"/>
    <w:rsid w:val="724E54F1"/>
    <w:rsid w:val="727334E4"/>
    <w:rsid w:val="72772DDB"/>
    <w:rsid w:val="727B2E39"/>
    <w:rsid w:val="72827328"/>
    <w:rsid w:val="728B509F"/>
    <w:rsid w:val="728F0A31"/>
    <w:rsid w:val="72B751B8"/>
    <w:rsid w:val="72CE3184"/>
    <w:rsid w:val="72D456A5"/>
    <w:rsid w:val="72E70D52"/>
    <w:rsid w:val="72EA6B66"/>
    <w:rsid w:val="72EF43FD"/>
    <w:rsid w:val="731C28E7"/>
    <w:rsid w:val="7326097A"/>
    <w:rsid w:val="732A4A9B"/>
    <w:rsid w:val="73343997"/>
    <w:rsid w:val="73370B0A"/>
    <w:rsid w:val="733C723A"/>
    <w:rsid w:val="733C7C6A"/>
    <w:rsid w:val="735868D7"/>
    <w:rsid w:val="73690216"/>
    <w:rsid w:val="736A02D8"/>
    <w:rsid w:val="73893467"/>
    <w:rsid w:val="73912A81"/>
    <w:rsid w:val="739B1EFF"/>
    <w:rsid w:val="73A16D22"/>
    <w:rsid w:val="73B1400F"/>
    <w:rsid w:val="73BA064C"/>
    <w:rsid w:val="73BB3C6E"/>
    <w:rsid w:val="73CE1997"/>
    <w:rsid w:val="73DE1AB7"/>
    <w:rsid w:val="73EC7C9D"/>
    <w:rsid w:val="741076D1"/>
    <w:rsid w:val="74215D04"/>
    <w:rsid w:val="742A0965"/>
    <w:rsid w:val="742D6DB6"/>
    <w:rsid w:val="746E46B4"/>
    <w:rsid w:val="74775754"/>
    <w:rsid w:val="74B06962"/>
    <w:rsid w:val="74B32215"/>
    <w:rsid w:val="74C46840"/>
    <w:rsid w:val="74D71DDE"/>
    <w:rsid w:val="74E11F86"/>
    <w:rsid w:val="74FB509B"/>
    <w:rsid w:val="74FB6035"/>
    <w:rsid w:val="750934A8"/>
    <w:rsid w:val="750A15E4"/>
    <w:rsid w:val="752B3381"/>
    <w:rsid w:val="75594581"/>
    <w:rsid w:val="755A5494"/>
    <w:rsid w:val="75625A16"/>
    <w:rsid w:val="75663FD1"/>
    <w:rsid w:val="759B0C43"/>
    <w:rsid w:val="75C123A7"/>
    <w:rsid w:val="75CD2584"/>
    <w:rsid w:val="75D357A7"/>
    <w:rsid w:val="75F75D00"/>
    <w:rsid w:val="75F8074C"/>
    <w:rsid w:val="7600209C"/>
    <w:rsid w:val="760049B0"/>
    <w:rsid w:val="76070A73"/>
    <w:rsid w:val="763B42FB"/>
    <w:rsid w:val="763F1F92"/>
    <w:rsid w:val="76424474"/>
    <w:rsid w:val="76452780"/>
    <w:rsid w:val="76690632"/>
    <w:rsid w:val="766F568C"/>
    <w:rsid w:val="767469E2"/>
    <w:rsid w:val="76775F0B"/>
    <w:rsid w:val="767E2DAC"/>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0D7D"/>
    <w:rsid w:val="778F49BD"/>
    <w:rsid w:val="77966F4C"/>
    <w:rsid w:val="77A75021"/>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90174F"/>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B07C78"/>
    <w:rsid w:val="7ACD2D7F"/>
    <w:rsid w:val="7AD27B42"/>
    <w:rsid w:val="7AE869F7"/>
    <w:rsid w:val="7B18546A"/>
    <w:rsid w:val="7B214978"/>
    <w:rsid w:val="7B4A5781"/>
    <w:rsid w:val="7B603C7C"/>
    <w:rsid w:val="7B6E2AB1"/>
    <w:rsid w:val="7B771CED"/>
    <w:rsid w:val="7B9422CC"/>
    <w:rsid w:val="7BA22D26"/>
    <w:rsid w:val="7BA521BC"/>
    <w:rsid w:val="7BB145C1"/>
    <w:rsid w:val="7BB2241E"/>
    <w:rsid w:val="7BC17EBE"/>
    <w:rsid w:val="7BC43666"/>
    <w:rsid w:val="7BC8293C"/>
    <w:rsid w:val="7BC87053"/>
    <w:rsid w:val="7BDE0174"/>
    <w:rsid w:val="7BE131F6"/>
    <w:rsid w:val="7BF11348"/>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64087E"/>
    <w:rsid w:val="7D7F5298"/>
    <w:rsid w:val="7DAB10BD"/>
    <w:rsid w:val="7DB6520B"/>
    <w:rsid w:val="7DD7657D"/>
    <w:rsid w:val="7DF464FC"/>
    <w:rsid w:val="7E006A11"/>
    <w:rsid w:val="7E1C55F3"/>
    <w:rsid w:val="7E347694"/>
    <w:rsid w:val="7E3B5911"/>
    <w:rsid w:val="7E495416"/>
    <w:rsid w:val="7E497873"/>
    <w:rsid w:val="7E750E81"/>
    <w:rsid w:val="7E9044A6"/>
    <w:rsid w:val="7E922E52"/>
    <w:rsid w:val="7EA86FEE"/>
    <w:rsid w:val="7EA87297"/>
    <w:rsid w:val="7EC57DB4"/>
    <w:rsid w:val="7ED55364"/>
    <w:rsid w:val="7ED61FF8"/>
    <w:rsid w:val="7EDE52DA"/>
    <w:rsid w:val="7EEB1AD7"/>
    <w:rsid w:val="7EEC4A0C"/>
    <w:rsid w:val="7EEC4EBC"/>
    <w:rsid w:val="7EEF5C7E"/>
    <w:rsid w:val="7EFA4392"/>
    <w:rsid w:val="7F057503"/>
    <w:rsid w:val="7F085E6E"/>
    <w:rsid w:val="7F090A0E"/>
    <w:rsid w:val="7F0C0396"/>
    <w:rsid w:val="7F160CCE"/>
    <w:rsid w:val="7F18438A"/>
    <w:rsid w:val="7F3B01C9"/>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8"/>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5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8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0"/>
    <w:qFormat/>
    <w:uiPriority w:val="0"/>
    <w:pPr>
      <w:tabs>
        <w:tab w:val="left" w:pos="2144"/>
        <w:tab w:val="clear" w:pos="2000"/>
      </w:tabs>
      <w:ind w:left="2144" w:hanging="1008"/>
      <w:outlineLvl w:val="4"/>
    </w:pPr>
    <w:rPr>
      <w:sz w:val="22"/>
    </w:rPr>
  </w:style>
  <w:style w:type="paragraph" w:styleId="7">
    <w:name w:val="heading 6"/>
    <w:basedOn w:val="1"/>
    <w:next w:val="1"/>
    <w:link w:val="7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5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84"/>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7">
    <w:name w:val="Normal Table"/>
    <w:unhideWhenUsed/>
    <w:qFormat/>
    <w:uiPriority w:val="99"/>
    <w:tblPr>
      <w:tblStyle w:val="27"/>
      <w:tblLayout w:type="fixed"/>
      <w:tblCellMar>
        <w:top w:w="0" w:type="dxa"/>
        <w:left w:w="108" w:type="dxa"/>
        <w:bottom w:w="0" w:type="dxa"/>
        <w:right w:w="108" w:type="dxa"/>
      </w:tblCellMar>
    </w:tblPr>
  </w:style>
  <w:style w:type="paragraph" w:styleId="11">
    <w:name w:val="annotation subject"/>
    <w:basedOn w:val="12"/>
    <w:next w:val="12"/>
    <w:link w:val="54"/>
    <w:unhideWhenUsed/>
    <w:uiPriority w:val="99"/>
    <w:rPr>
      <w:b/>
      <w:bCs/>
    </w:rPr>
  </w:style>
  <w:style w:type="paragraph" w:styleId="12">
    <w:name w:val="annotation text"/>
    <w:basedOn w:val="1"/>
    <w:link w:val="65"/>
    <w:unhideWhenUsed/>
    <w:uiPriority w:val="99"/>
    <w:rPr>
      <w:sz w:val="20"/>
      <w:szCs w:val="20"/>
    </w:rPr>
  </w:style>
  <w:style w:type="paragraph" w:styleId="13">
    <w:name w:val="caption"/>
    <w:basedOn w:val="1"/>
    <w:next w:val="1"/>
    <w:link w:val="76"/>
    <w:qFormat/>
    <w:uiPriority w:val="0"/>
    <w:pPr>
      <w:widowControl/>
      <w:spacing w:before="152" w:after="160"/>
    </w:pPr>
    <w:rPr>
      <w:rFonts w:ascii="Arial" w:hAnsi="Arial" w:eastAsia="黑体"/>
      <w:kern w:val="0"/>
      <w:sz w:val="20"/>
      <w:szCs w:val="20"/>
    </w:rPr>
  </w:style>
  <w:style w:type="paragraph" w:styleId="14">
    <w:name w:val="Document Map"/>
    <w:basedOn w:val="1"/>
    <w:link w:val="74"/>
    <w:unhideWhenUsed/>
    <w:uiPriority w:val="99"/>
    <w:rPr>
      <w:rFonts w:ascii="宋体"/>
      <w:kern w:val="0"/>
      <w:sz w:val="18"/>
      <w:szCs w:val="18"/>
    </w:rPr>
  </w:style>
  <w:style w:type="paragraph" w:styleId="15">
    <w:name w:val="Body Text"/>
    <w:basedOn w:val="1"/>
    <w:link w:val="61"/>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0"/>
    <w:unhideWhenUsed/>
    <w:uiPriority w:val="99"/>
    <w:rPr>
      <w:sz w:val="18"/>
      <w:szCs w:val="18"/>
    </w:rPr>
  </w:style>
  <w:style w:type="paragraph" w:styleId="17">
    <w:name w:val="footer"/>
    <w:basedOn w:val="18"/>
    <w:link w:val="79"/>
    <w:unhideWhenUsed/>
    <w:uiPriority w:val="99"/>
    <w:pPr>
      <w:tabs>
        <w:tab w:val="center" w:pos="4153"/>
        <w:tab w:val="right" w:pos="8306"/>
      </w:tabs>
      <w:snapToGrid w:val="0"/>
      <w:jc w:val="left"/>
    </w:pPr>
    <w:rPr>
      <w:kern w:val="0"/>
      <w:sz w:val="18"/>
      <w:szCs w:val="18"/>
    </w:rPr>
  </w:style>
  <w:style w:type="paragraph" w:styleId="18">
    <w:name w:val="header"/>
    <w:basedOn w:val="1"/>
    <w:link w:val="8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Emphasis"/>
    <w:qFormat/>
    <w:uiPriority w:val="20"/>
    <w:rPr>
      <w:color w:val="CC0000"/>
    </w:rPr>
  </w:style>
  <w:style w:type="character" w:styleId="24">
    <w:name w:val="Hyperlink"/>
    <w:uiPriority w:val="0"/>
    <w:rPr>
      <w:color w:val="0000FF"/>
      <w:u w:val="single"/>
    </w:rPr>
  </w:style>
  <w:style w:type="character" w:styleId="25">
    <w:name w:val="annotation reference"/>
    <w:unhideWhenUsed/>
    <w:uiPriority w:val="99"/>
    <w:rPr>
      <w:sz w:val="16"/>
      <w:szCs w:val="16"/>
    </w:rPr>
  </w:style>
  <w:style w:type="character" w:styleId="26">
    <w:name w:val="HTML Cite"/>
    <w:unhideWhenUsed/>
    <w:uiPriority w:val="99"/>
    <w:rPr>
      <w:color w:val="008000"/>
    </w:rPr>
  </w:style>
  <w:style w:type="table" w:styleId="28">
    <w:name w:val="Table Grid"/>
    <w:basedOn w:val="27"/>
    <w:uiPriority w:val="0"/>
    <w:rPr>
      <w:rFonts w:ascii="Times New Roman" w:hAnsi="Times New Roman"/>
    </w:rPr>
    <w:tblPr>
      <w:tblStyle w:val="2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29">
    <w:name w:val="No Spacing"/>
    <w:qFormat/>
    <w:uiPriority w:val="1"/>
    <w:pPr>
      <w:widowControl w:val="0"/>
      <w:jc w:val="both"/>
    </w:pPr>
    <w:rPr>
      <w:kern w:val="2"/>
      <w:sz w:val="21"/>
      <w:szCs w:val="24"/>
      <w:lang w:val="en-US" w:eastAsia="zh-CN" w:bidi="ar-SA"/>
    </w:rPr>
  </w:style>
  <w:style w:type="paragraph" w:customStyle="1" w:styleId="30">
    <w:name w:val="TF"/>
    <w:basedOn w:val="31"/>
    <w:uiPriority w:val="0"/>
    <w:pPr>
      <w:keepNext w:val="0"/>
      <w:spacing w:before="0" w:after="240"/>
    </w:pPr>
  </w:style>
  <w:style w:type="paragraph" w:customStyle="1" w:styleId="31">
    <w:name w:val="TH"/>
    <w:basedOn w:val="1"/>
    <w:link w:val="67"/>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2">
    <w:name w:val="_Style 0"/>
    <w:qFormat/>
    <w:uiPriority w:val="1"/>
    <w:pPr>
      <w:widowControl w:val="0"/>
      <w:jc w:val="both"/>
    </w:pPr>
    <w:rPr>
      <w:kern w:val="2"/>
      <w:sz w:val="21"/>
      <w:szCs w:val="24"/>
      <w:lang w:val="en-US" w:eastAsia="zh-CN" w:bidi="ar-SA"/>
    </w:rPr>
  </w:style>
  <w:style w:type="paragraph" w:customStyle="1" w:styleId="33">
    <w:name w:val="TAC"/>
    <w:basedOn w:val="34"/>
    <w:link w:val="68"/>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4">
    <w:name w:val="TAL"/>
    <w:basedOn w:val="1"/>
    <w:link w:val="83"/>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NO"/>
    <w:basedOn w:val="1"/>
    <w:link w:val="75"/>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6">
    <w:name w:val="B1"/>
    <w:basedOn w:val="19"/>
    <w:link w:val="71"/>
    <w:uiPriority w:val="0"/>
    <w:pPr>
      <w:widowControl/>
      <w:spacing w:after="180"/>
      <w:ind w:left="568" w:hanging="284" w:firstLineChars="0"/>
      <w:jc w:val="left"/>
    </w:pPr>
    <w:rPr>
      <w:rFonts w:eastAsia="MS Mincho"/>
      <w:kern w:val="0"/>
      <w:sz w:val="20"/>
      <w:szCs w:val="20"/>
      <w:lang w:val="en-GB" w:eastAsia="de-DE"/>
    </w:rPr>
  </w:style>
  <w:style w:type="paragraph" w:customStyle="1" w:styleId="37">
    <w:name w:val="Char"/>
    <w:basedOn w:val="38"/>
    <w:link w:val="8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8">
    <w:name w:val="List Paragraph"/>
    <w:basedOn w:val="1"/>
    <w:qFormat/>
    <w:uiPriority w:val="34"/>
    <w:pPr>
      <w:ind w:firstLine="420" w:firstLineChars="200"/>
    </w:pPr>
  </w:style>
  <w:style w:type="paragraph" w:customStyle="1" w:styleId="39">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2">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 w:type="paragraph" w:customStyle="1" w:styleId="43">
    <w:name w:val="Table_No"/>
    <w:basedOn w:val="1"/>
    <w:next w:val="1"/>
    <w:uiPriority w:val="0"/>
    <w:pPr>
      <w:keepNext/>
      <w:tabs>
        <w:tab w:val="left" w:pos="1134"/>
        <w:tab w:val="left" w:pos="1871"/>
        <w:tab w:val="left" w:pos="2268"/>
      </w:tabs>
      <w:spacing w:before="560" w:after="120"/>
      <w:jc w:val="center"/>
    </w:pPr>
    <w:rPr>
      <w:caps/>
      <w:sz w:val="20"/>
    </w:rPr>
  </w:style>
  <w:style w:type="paragraph" w:customStyle="1" w:styleId="44">
    <w:name w:val="Table_head"/>
    <w:basedOn w:val="1"/>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EQ"/>
    <w:basedOn w:val="1"/>
    <w:next w:val="1"/>
    <w:uiPriority w:val="0"/>
    <w:pPr>
      <w:keepLines/>
      <w:tabs>
        <w:tab w:val="center" w:pos="4536"/>
        <w:tab w:val="right" w:pos="9072"/>
      </w:tabs>
    </w:pPr>
  </w:style>
  <w:style w:type="paragraph" w:customStyle="1" w:styleId="46">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47">
    <w:name w:val="char char"/>
    <w:basedOn w:val="40"/>
    <w:link w:val="82"/>
    <w:qFormat/>
    <w:uiPriority w:val="0"/>
    <w:pPr>
      <w:spacing w:before="180" w:after="120"/>
      <w:outlineLvl w:val="1"/>
    </w:pPr>
    <w:rPr>
      <w:rFonts w:ascii="Arial" w:hAnsi="Arial"/>
      <w:sz w:val="28"/>
      <w:szCs w:val="32"/>
    </w:rPr>
  </w:style>
  <w:style w:type="paragraph" w:customStyle="1" w:styleId="4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49">
    <w:name w:val="Table_title"/>
    <w:basedOn w:val="1"/>
    <w:next w:val="50"/>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1">
    <w:name w:val="TAN"/>
    <w:basedOn w:val="1"/>
    <w:link w:val="73"/>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AH"/>
    <w:basedOn w:val="33"/>
    <w:link w:val="62"/>
    <w:uiPriority w:val="0"/>
    <w:rPr>
      <w:b/>
    </w:rPr>
  </w:style>
  <w:style w:type="character" w:customStyle="1" w:styleId="53">
    <w:name w:val="Heading 7 Char"/>
    <w:link w:val="8"/>
    <w:uiPriority w:val="0"/>
    <w:rPr>
      <w:rFonts w:ascii="Arial" w:hAnsi="Arial" w:eastAsia="宋体"/>
      <w:lang w:val="en-GB" w:eastAsia="en-US"/>
    </w:rPr>
  </w:style>
  <w:style w:type="character" w:customStyle="1" w:styleId="54">
    <w:name w:val="Comment Subject Char"/>
    <w:link w:val="11"/>
    <w:semiHidden/>
    <w:uiPriority w:val="99"/>
    <w:rPr>
      <w:b/>
      <w:bCs/>
      <w:kern w:val="2"/>
      <w:lang w:eastAsia="zh-CN"/>
    </w:rPr>
  </w:style>
  <w:style w:type="character" w:customStyle="1" w:styleId="55">
    <w:name w:val="Heading 3 Char"/>
    <w:link w:val="4"/>
    <w:uiPriority w:val="0"/>
    <w:rPr>
      <w:rFonts w:ascii="Arial" w:hAnsi="Arial"/>
      <w:sz w:val="28"/>
      <w:lang w:eastAsia="en-US"/>
    </w:rPr>
  </w:style>
  <w:style w:type="character" w:customStyle="1" w:styleId="56">
    <w:name w:val="Heading 2 Char"/>
    <w:link w:val="3"/>
    <w:uiPriority w:val="0"/>
    <w:rPr>
      <w:rFonts w:ascii="Arial" w:hAnsi="Arial"/>
      <w:sz w:val="32"/>
      <w:lang w:eastAsia="en-US"/>
    </w:rPr>
  </w:style>
  <w:style w:type="character" w:customStyle="1" w:styleId="57">
    <w:name w:val="正文1 Char"/>
    <w:link w:val="40"/>
    <w:uiPriority w:val="0"/>
    <w:rPr>
      <w:rFonts w:ascii="Times New Roman" w:hAnsi="Times New Roman" w:eastAsia="宋体" w:cs="Times New Roman"/>
      <w:kern w:val="0"/>
      <w:sz w:val="20"/>
      <w:szCs w:val="20"/>
    </w:rPr>
  </w:style>
  <w:style w:type="character" w:customStyle="1" w:styleId="58">
    <w:name w:val="Heading 1 Char"/>
    <w:link w:val="2"/>
    <w:uiPriority w:val="9"/>
    <w:rPr>
      <w:rFonts w:ascii="Cambria" w:hAnsi="Cambria" w:eastAsia="宋体" w:cs="Times New Roman"/>
      <w:b/>
      <w:bCs/>
      <w:kern w:val="32"/>
      <w:sz w:val="32"/>
      <w:szCs w:val="32"/>
      <w:lang w:val="en-US"/>
    </w:rPr>
  </w:style>
  <w:style w:type="character" w:customStyle="1" w:styleId="59">
    <w:name w:val="op_dict3_lineone_result_tip"/>
    <w:uiPriority w:val="0"/>
    <w:rPr>
      <w:color w:val="999999"/>
    </w:rPr>
  </w:style>
  <w:style w:type="character" w:customStyle="1" w:styleId="60">
    <w:name w:val="Heading 5 Char"/>
    <w:link w:val="6"/>
    <w:uiPriority w:val="0"/>
    <w:rPr>
      <w:rFonts w:ascii="Arial" w:hAnsi="Arial" w:eastAsia="宋体"/>
      <w:sz w:val="22"/>
      <w:lang w:val="en-GB" w:eastAsia="en-US"/>
    </w:rPr>
  </w:style>
  <w:style w:type="character" w:customStyle="1" w:styleId="61">
    <w:name w:val="Body Text Char"/>
    <w:link w:val="15"/>
    <w:uiPriority w:val="0"/>
    <w:rPr>
      <w:rFonts w:ascii="Times New Roman" w:hAnsi="Times New Roman" w:eastAsia="Times New Roman" w:cs="Times New Roman"/>
      <w:kern w:val="0"/>
      <w:sz w:val="20"/>
      <w:szCs w:val="20"/>
      <w:lang w:val="en-GB" w:eastAsia="en-US"/>
    </w:rPr>
  </w:style>
  <w:style w:type="character" w:customStyle="1" w:styleId="62">
    <w:name w:val="TAH Car"/>
    <w:link w:val="52"/>
    <w:uiPriority w:val="0"/>
    <w:rPr>
      <w:rFonts w:ascii="Arial" w:hAnsi="Arial" w:eastAsia="Times New Roman" w:cs="Times New Roman"/>
      <w:b/>
      <w:kern w:val="0"/>
      <w:sz w:val="18"/>
      <w:szCs w:val="20"/>
      <w:lang w:val="en-GB" w:eastAsia="ja-JP"/>
    </w:rPr>
  </w:style>
  <w:style w:type="character" w:customStyle="1" w:styleId="63">
    <w:name w:val="op_dict_text2"/>
    <w:basedOn w:val="21"/>
    <w:uiPriority w:val="0"/>
  </w:style>
  <w:style w:type="character" w:customStyle="1" w:styleId="64">
    <w:name w:val="msoins"/>
    <w:basedOn w:val="21"/>
    <w:uiPriority w:val="0"/>
  </w:style>
  <w:style w:type="character" w:customStyle="1" w:styleId="65">
    <w:name w:val="Comment Text Char"/>
    <w:link w:val="12"/>
    <w:semiHidden/>
    <w:uiPriority w:val="99"/>
    <w:rPr>
      <w:kern w:val="2"/>
      <w:lang w:eastAsia="zh-CN"/>
    </w:rPr>
  </w:style>
  <w:style w:type="character" w:customStyle="1" w:styleId="66">
    <w:name w:val="c-icon"/>
    <w:basedOn w:val="21"/>
    <w:uiPriority w:val="0"/>
  </w:style>
  <w:style w:type="character" w:customStyle="1" w:styleId="67">
    <w:name w:val="TH Char"/>
    <w:link w:val="31"/>
    <w:uiPriority w:val="0"/>
    <w:rPr>
      <w:rFonts w:ascii="Arial" w:hAnsi="Arial" w:eastAsia="宋体"/>
      <w:b/>
      <w:bCs/>
      <w:lang w:val="en-GB"/>
    </w:rPr>
  </w:style>
  <w:style w:type="character" w:customStyle="1" w:styleId="68">
    <w:name w:val="TAC Char"/>
    <w:link w:val="33"/>
    <w:uiPriority w:val="0"/>
    <w:rPr>
      <w:rFonts w:ascii="Arial" w:hAnsi="Arial" w:eastAsia="Times New Roman" w:cs="Times New Roman"/>
      <w:kern w:val="0"/>
      <w:sz w:val="18"/>
      <w:szCs w:val="20"/>
      <w:lang w:val="en-GB" w:eastAsia="ja-JP"/>
    </w:rPr>
  </w:style>
  <w:style w:type="character" w:customStyle="1" w:styleId="69">
    <w:name w:val="keyword"/>
    <w:basedOn w:val="21"/>
    <w:uiPriority w:val="0"/>
  </w:style>
  <w:style w:type="character" w:customStyle="1" w:styleId="70">
    <w:name w:val="Balloon Text Char"/>
    <w:link w:val="16"/>
    <w:semiHidden/>
    <w:uiPriority w:val="99"/>
    <w:rPr>
      <w:kern w:val="2"/>
      <w:sz w:val="18"/>
      <w:szCs w:val="18"/>
    </w:rPr>
  </w:style>
  <w:style w:type="character" w:customStyle="1" w:styleId="71">
    <w:name w:val="B1 Char"/>
    <w:link w:val="36"/>
    <w:uiPriority w:val="0"/>
    <w:rPr>
      <w:rFonts w:ascii="Times New Roman" w:hAnsi="Times New Roman" w:eastAsia="MS Mincho"/>
      <w:lang w:val="en-GB" w:eastAsia="de-DE"/>
    </w:rPr>
  </w:style>
  <w:style w:type="character" w:customStyle="1" w:styleId="72">
    <w:name w:val="Heading 8 Char"/>
    <w:link w:val="9"/>
    <w:uiPriority w:val="0"/>
    <w:rPr>
      <w:rFonts w:ascii="Arial" w:hAnsi="Arial" w:eastAsia="宋体"/>
      <w:sz w:val="36"/>
      <w:lang w:val="en-GB" w:eastAsia="en-US"/>
    </w:rPr>
  </w:style>
  <w:style w:type="character" w:customStyle="1" w:styleId="73">
    <w:name w:val="TAN Char"/>
    <w:link w:val="51"/>
    <w:uiPriority w:val="0"/>
    <w:rPr>
      <w:rFonts w:ascii="Arial" w:hAnsi="Arial" w:eastAsia="宋体"/>
      <w:sz w:val="18"/>
      <w:szCs w:val="18"/>
      <w:lang w:val="en-GB"/>
    </w:rPr>
  </w:style>
  <w:style w:type="character" w:customStyle="1" w:styleId="74">
    <w:name w:val="Document Map Char"/>
    <w:link w:val="14"/>
    <w:semiHidden/>
    <w:uiPriority w:val="99"/>
    <w:rPr>
      <w:rFonts w:ascii="宋体" w:eastAsia="宋体"/>
      <w:sz w:val="18"/>
      <w:szCs w:val="18"/>
    </w:rPr>
  </w:style>
  <w:style w:type="character" w:customStyle="1" w:styleId="75">
    <w:name w:val="NO Char"/>
    <w:link w:val="35"/>
    <w:uiPriority w:val="0"/>
    <w:rPr>
      <w:rFonts w:ascii="Times New Roman" w:hAnsi="Times New Roman" w:eastAsia="Times New Roman"/>
      <w:lang w:val="en-GB"/>
    </w:rPr>
  </w:style>
  <w:style w:type="character" w:customStyle="1" w:styleId="76">
    <w:name w:val="Caption Char"/>
    <w:link w:val="13"/>
    <w:uiPriority w:val="0"/>
    <w:rPr>
      <w:rFonts w:ascii="Arial" w:hAnsi="Arial" w:eastAsia="黑体"/>
    </w:rPr>
  </w:style>
  <w:style w:type="character" w:customStyle="1" w:styleId="77">
    <w:name w:val="char char char Char"/>
    <w:link w:val="39"/>
    <w:uiPriority w:val="0"/>
    <w:rPr>
      <w:rFonts w:ascii="Arial" w:hAnsi="Arial" w:eastAsia="宋体" w:cs="Times New Roman"/>
      <w:kern w:val="0"/>
      <w:sz w:val="24"/>
      <w:szCs w:val="28"/>
    </w:rPr>
  </w:style>
  <w:style w:type="character" w:customStyle="1" w:styleId="78">
    <w:name w:val="Heading 6 Char"/>
    <w:link w:val="7"/>
    <w:uiPriority w:val="0"/>
    <w:rPr>
      <w:rFonts w:ascii="Arial" w:hAnsi="Arial" w:eastAsia="宋体"/>
      <w:lang w:val="en-GB" w:eastAsia="en-US"/>
    </w:rPr>
  </w:style>
  <w:style w:type="character" w:customStyle="1" w:styleId="79">
    <w:name w:val="Footer Char"/>
    <w:link w:val="17"/>
    <w:uiPriority w:val="99"/>
    <w:rPr>
      <w:sz w:val="18"/>
      <w:szCs w:val="18"/>
    </w:rPr>
  </w:style>
  <w:style w:type="character" w:customStyle="1" w:styleId="80">
    <w:name w:val="Header Char"/>
    <w:link w:val="18"/>
    <w:uiPriority w:val="99"/>
    <w:rPr>
      <w:sz w:val="18"/>
      <w:szCs w:val="18"/>
    </w:rPr>
  </w:style>
  <w:style w:type="character" w:customStyle="1" w:styleId="81">
    <w:name w:val="c-icon14"/>
    <w:basedOn w:val="21"/>
    <w:uiPriority w:val="0"/>
  </w:style>
  <w:style w:type="character" w:customStyle="1" w:styleId="82">
    <w:name w:val="char char Char"/>
    <w:link w:val="47"/>
    <w:uiPriority w:val="0"/>
    <w:rPr>
      <w:rFonts w:ascii="Arial" w:hAnsi="Arial" w:eastAsia="宋体" w:cs="Times New Roman"/>
      <w:kern w:val="0"/>
      <w:sz w:val="28"/>
      <w:szCs w:val="32"/>
    </w:rPr>
  </w:style>
  <w:style w:type="character" w:customStyle="1" w:styleId="83">
    <w:name w:val="TAL Char"/>
    <w:link w:val="34"/>
    <w:uiPriority w:val="0"/>
    <w:rPr>
      <w:rFonts w:ascii="Arial" w:hAnsi="Arial"/>
      <w:sz w:val="18"/>
      <w:lang w:val="en-GB" w:eastAsia="en-US"/>
    </w:rPr>
  </w:style>
  <w:style w:type="character" w:customStyle="1" w:styleId="84">
    <w:name w:val="Heading 9 Char"/>
    <w:link w:val="10"/>
    <w:uiPriority w:val="0"/>
    <w:rPr>
      <w:rFonts w:ascii="Arial" w:hAnsi="Arial" w:eastAsia="宋体"/>
      <w:sz w:val="36"/>
      <w:lang w:val="en-GB" w:eastAsia="en-US"/>
    </w:rPr>
  </w:style>
  <w:style w:type="character" w:customStyle="1" w:styleId="85">
    <w:name w:val="Char Char"/>
    <w:link w:val="37"/>
    <w:uiPriority w:val="0"/>
    <w:rPr>
      <w:rFonts w:ascii="Arial" w:hAnsi="Arial"/>
      <w:sz w:val="32"/>
      <w:szCs w:val="36"/>
    </w:rPr>
  </w:style>
  <w:style w:type="character" w:customStyle="1" w:styleId="86">
    <w:name w:val="默认段落字体1"/>
    <w:uiPriority w:val="0"/>
  </w:style>
  <w:style w:type="character" w:customStyle="1" w:styleId="87">
    <w:name w:val="Heading 4 Char"/>
    <w:link w:val="5"/>
    <w:uiPriority w:val="0"/>
    <w:rPr>
      <w:rFonts w:ascii="Arial" w:hAnsi="Arial" w:eastAsia="宋体"/>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984</Words>
  <Characters>5612</Characters>
  <Lines>46</Lines>
  <Paragraphs>13</Paragraphs>
  <TotalTime>1</TotalTime>
  <ScaleCrop>false</ScaleCrop>
  <LinksUpToDate>false</LinksUpToDate>
  <CharactersWithSpaces>6583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2020-08-07T13:28:12Z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